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EA48" w14:textId="77777777" w:rsidR="00EE7590" w:rsidRDefault="009159FB" w:rsidP="00E14ECC">
      <w:pPr>
        <w:spacing w:after="0"/>
        <w:jc w:val="center"/>
        <w:rPr>
          <w:rFonts w:ascii="Vrinda" w:hAnsi="Vrinda"/>
          <w:b/>
          <w:bCs/>
          <w:sz w:val="32"/>
          <w:szCs w:val="32"/>
        </w:rPr>
      </w:pPr>
      <w:r>
        <w:rPr>
          <w:noProof/>
        </w:rPr>
        <w:drawing>
          <wp:inline distT="0" distB="0" distL="0" distR="0" wp14:anchorId="6FD906B5" wp14:editId="73E3497F">
            <wp:extent cx="4643755" cy="1057275"/>
            <wp:effectExtent l="19050" t="0" r="4445"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14:paraId="7E27C6F6" w14:textId="77777777" w:rsidR="00EE7590" w:rsidRPr="00EB2F7B" w:rsidRDefault="000E7CAE" w:rsidP="00E14ECC">
      <w:pPr>
        <w:spacing w:after="0"/>
        <w:jc w:val="center"/>
        <w:rPr>
          <w:rFonts w:ascii="Vrinda" w:hAnsi="Vrinda"/>
          <w:b/>
          <w:bCs/>
          <w:smallCaps/>
          <w:shadow/>
          <w:sz w:val="28"/>
          <w:szCs w:val="28"/>
        </w:rPr>
      </w:pPr>
      <w:r w:rsidRPr="00EB2F7B">
        <w:rPr>
          <w:rFonts w:ascii="Vrinda" w:hAnsi="Vrinda"/>
          <w:b/>
          <w:bCs/>
          <w:smallCaps/>
          <w:shadow/>
          <w:sz w:val="28"/>
          <w:szCs w:val="28"/>
        </w:rPr>
        <w:t xml:space="preserve">School of </w:t>
      </w:r>
      <w:proofErr w:type="spellStart"/>
      <w:r w:rsidRPr="00EB2F7B">
        <w:rPr>
          <w:rFonts w:ascii="Vrinda" w:hAnsi="Vrinda"/>
          <w:b/>
          <w:bCs/>
          <w:smallCaps/>
          <w:shadow/>
          <w:sz w:val="28"/>
          <w:szCs w:val="28"/>
        </w:rPr>
        <w:t>Business</w:t>
      </w:r>
      <w:r w:rsidR="00EB2F7B">
        <w:rPr>
          <w:rFonts w:ascii="Vrinda" w:hAnsi="Vrinda"/>
          <w:b/>
          <w:bCs/>
          <w:smallCaps/>
          <w:shadow/>
          <w:sz w:val="28"/>
          <w:szCs w:val="28"/>
        </w:rPr>
        <w:t>and</w:t>
      </w:r>
      <w:proofErr w:type="spellEnd"/>
      <w:r w:rsidR="00C42676" w:rsidRPr="00EB2F7B">
        <w:rPr>
          <w:rFonts w:ascii="Vrinda" w:hAnsi="Vrinda"/>
          <w:b/>
          <w:bCs/>
          <w:smallCaps/>
          <w:shadow/>
          <w:sz w:val="28"/>
          <w:szCs w:val="28"/>
        </w:rPr>
        <w:t xml:space="preserve"> Economics</w:t>
      </w:r>
    </w:p>
    <w:p w14:paraId="5708C067" w14:textId="77777777" w:rsidR="000E7CAE" w:rsidRPr="00EB2F7B" w:rsidRDefault="000E7CAE" w:rsidP="00E14ECC">
      <w:pPr>
        <w:spacing w:after="0"/>
        <w:jc w:val="center"/>
        <w:rPr>
          <w:rFonts w:ascii="Vrinda" w:hAnsi="Vrinda"/>
          <w:b/>
          <w:bCs/>
          <w:smallCaps/>
          <w:shadow/>
          <w:sz w:val="28"/>
          <w:szCs w:val="28"/>
        </w:rPr>
      </w:pPr>
      <w:r w:rsidRPr="00EB2F7B">
        <w:rPr>
          <w:rFonts w:ascii="Vrinda" w:hAnsi="Vrinda"/>
          <w:b/>
          <w:bCs/>
          <w:smallCaps/>
          <w:shadow/>
          <w:sz w:val="28"/>
          <w:szCs w:val="28"/>
        </w:rPr>
        <w:t xml:space="preserve">Department of </w:t>
      </w:r>
      <w:r w:rsidR="00F803BB" w:rsidRPr="00EB2F7B">
        <w:rPr>
          <w:rFonts w:ascii="Vrinda" w:hAnsi="Vrinda"/>
          <w:b/>
          <w:bCs/>
          <w:smallCaps/>
          <w:shadow/>
          <w:sz w:val="28"/>
          <w:szCs w:val="28"/>
        </w:rPr>
        <w:t>Accounting and Finance</w:t>
      </w:r>
    </w:p>
    <w:p w14:paraId="05CA2522" w14:textId="77777777" w:rsidR="00D02678" w:rsidRPr="007E3784" w:rsidRDefault="00D02678" w:rsidP="00E14ECC">
      <w:pPr>
        <w:spacing w:after="0"/>
        <w:jc w:val="center"/>
        <w:rPr>
          <w:rFonts w:ascii="Vrinda" w:hAnsi="Vrinda"/>
          <w:b/>
          <w:bCs/>
          <w:sz w:val="6"/>
          <w:szCs w:val="6"/>
        </w:rPr>
      </w:pPr>
    </w:p>
    <w:tbl>
      <w:tblPr>
        <w:tblW w:w="10069" w:type="dxa"/>
        <w:tblInd w:w="-318" w:type="dxa"/>
        <w:tblLook w:val="04A0" w:firstRow="1" w:lastRow="0" w:firstColumn="1" w:lastColumn="0" w:noHBand="0" w:noVBand="1"/>
      </w:tblPr>
      <w:tblGrid>
        <w:gridCol w:w="2130"/>
        <w:gridCol w:w="7939"/>
      </w:tblGrid>
      <w:tr w:rsidR="008276E3" w:rsidRPr="006B082B" w14:paraId="4EA58551" w14:textId="77777777" w:rsidTr="00F712C4">
        <w:trPr>
          <w:trHeight w:val="397"/>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36FF4A8A" w14:textId="77777777" w:rsidR="008276E3" w:rsidRPr="006B082B" w:rsidRDefault="008276E3" w:rsidP="00E932F7">
            <w:pPr>
              <w:spacing w:after="0" w:line="240" w:lineRule="auto"/>
              <w:rPr>
                <w:rFonts w:ascii="Vrinda" w:hAnsi="Vrinda"/>
                <w:b/>
                <w:bCs/>
              </w:rPr>
            </w:pPr>
            <w:r w:rsidRPr="006B082B">
              <w:rPr>
                <w:rFonts w:ascii="Vrinda" w:hAnsi="Vrinda"/>
                <w:b/>
                <w:bCs/>
              </w:rPr>
              <w:t xml:space="preserve">Course Name:  </w:t>
            </w:r>
          </w:p>
        </w:tc>
        <w:tc>
          <w:tcPr>
            <w:tcW w:w="7939" w:type="dxa"/>
            <w:tcBorders>
              <w:top w:val="single" w:sz="4" w:space="0" w:color="auto"/>
              <w:left w:val="single" w:sz="4" w:space="0" w:color="auto"/>
              <w:bottom w:val="single" w:sz="4" w:space="0" w:color="auto"/>
              <w:right w:val="single" w:sz="4" w:space="0" w:color="auto"/>
            </w:tcBorders>
            <w:vAlign w:val="center"/>
          </w:tcPr>
          <w:p w14:paraId="7ADB6B04" w14:textId="77777777" w:rsidR="008276E3" w:rsidRPr="00EB2F7B" w:rsidRDefault="00E57A9B" w:rsidP="00E932F7">
            <w:pPr>
              <w:spacing w:after="0" w:line="240" w:lineRule="auto"/>
              <w:jc w:val="center"/>
              <w:rPr>
                <w:rFonts w:ascii="Vrinda" w:hAnsi="Vrinda"/>
                <w:b/>
                <w:bCs/>
                <w:smallCaps/>
                <w:shadow/>
                <w:sz w:val="24"/>
                <w:szCs w:val="24"/>
              </w:rPr>
            </w:pPr>
            <w:r w:rsidRPr="00E57A9B">
              <w:rPr>
                <w:rFonts w:ascii="Vrinda" w:hAnsi="Vrinda"/>
                <w:b/>
                <w:bCs/>
                <w:smallCaps/>
                <w:shadow/>
                <w:sz w:val="24"/>
                <w:szCs w:val="24"/>
              </w:rPr>
              <w:t>Corporate Finance</w:t>
            </w:r>
          </w:p>
        </w:tc>
      </w:tr>
      <w:tr w:rsidR="008276E3" w:rsidRPr="006B082B" w14:paraId="26DA33BA" w14:textId="77777777" w:rsidTr="00F712C4">
        <w:trPr>
          <w:trHeight w:val="552"/>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3EF860D9" w14:textId="77777777" w:rsidR="008276E3" w:rsidRPr="006B082B" w:rsidRDefault="008276E3" w:rsidP="00E932F7">
            <w:pPr>
              <w:spacing w:after="0" w:line="240" w:lineRule="auto"/>
              <w:rPr>
                <w:rFonts w:ascii="Vrinda" w:hAnsi="Vrinda"/>
                <w:b/>
                <w:bCs/>
                <w:rtl/>
              </w:rPr>
            </w:pPr>
            <w:r w:rsidRPr="006B082B">
              <w:rPr>
                <w:rFonts w:ascii="Vrinda" w:hAnsi="Vrinda"/>
                <w:b/>
                <w:bCs/>
              </w:rPr>
              <w:t xml:space="preserve">Course Code </w:t>
            </w:r>
          </w:p>
          <w:p w14:paraId="59A8384D" w14:textId="77777777" w:rsidR="008276E3" w:rsidRPr="006B082B" w:rsidRDefault="008276E3" w:rsidP="00E932F7">
            <w:pPr>
              <w:spacing w:after="0" w:line="240" w:lineRule="auto"/>
              <w:rPr>
                <w:rFonts w:ascii="Vrinda" w:hAnsi="Vrinda"/>
                <w:b/>
                <w:bCs/>
              </w:rPr>
            </w:pPr>
            <w:r w:rsidRPr="006B082B">
              <w:rPr>
                <w:rFonts w:ascii="Vrinda" w:hAnsi="Vrinda"/>
                <w:b/>
                <w:bCs/>
              </w:rPr>
              <w:t>&amp; Section No:</w:t>
            </w:r>
          </w:p>
        </w:tc>
        <w:tc>
          <w:tcPr>
            <w:tcW w:w="7939" w:type="dxa"/>
            <w:tcBorders>
              <w:top w:val="single" w:sz="4" w:space="0" w:color="auto"/>
              <w:left w:val="single" w:sz="4" w:space="0" w:color="auto"/>
              <w:bottom w:val="single" w:sz="4" w:space="0" w:color="auto"/>
              <w:right w:val="single" w:sz="4" w:space="0" w:color="auto"/>
            </w:tcBorders>
            <w:vAlign w:val="center"/>
          </w:tcPr>
          <w:p w14:paraId="2584C927" w14:textId="77777777" w:rsidR="00BB61C2" w:rsidRDefault="00E57A9B" w:rsidP="00E932F7">
            <w:pPr>
              <w:spacing w:after="0" w:line="240" w:lineRule="auto"/>
              <w:jc w:val="center"/>
              <w:rPr>
                <w:rFonts w:ascii="Vrinda" w:hAnsi="Vrinda"/>
                <w:b/>
                <w:bCs/>
                <w:sz w:val="24"/>
                <w:szCs w:val="24"/>
              </w:rPr>
            </w:pPr>
            <w:r>
              <w:rPr>
                <w:rFonts w:ascii="Vrinda" w:hAnsi="Vrinda"/>
                <w:b/>
                <w:bCs/>
                <w:sz w:val="24"/>
                <w:szCs w:val="24"/>
              </w:rPr>
              <w:t>FIN440</w:t>
            </w:r>
          </w:p>
          <w:p w14:paraId="72259536" w14:textId="77777777" w:rsidR="008276E3" w:rsidRPr="006B082B" w:rsidRDefault="00530060" w:rsidP="00222DEF">
            <w:pPr>
              <w:spacing w:after="0" w:line="240" w:lineRule="auto"/>
              <w:jc w:val="center"/>
              <w:rPr>
                <w:rFonts w:ascii="Vrinda" w:hAnsi="Vrinda"/>
                <w:b/>
                <w:bCs/>
                <w:sz w:val="24"/>
                <w:szCs w:val="24"/>
              </w:rPr>
            </w:pPr>
            <w:r>
              <w:rPr>
                <w:rFonts w:ascii="Vrinda" w:hAnsi="Vrinda"/>
                <w:b/>
                <w:bCs/>
                <w:sz w:val="24"/>
                <w:szCs w:val="24"/>
              </w:rPr>
              <w:t>Section:</w:t>
            </w:r>
            <w:r w:rsidR="002D4FD4">
              <w:rPr>
                <w:rFonts w:ascii="Vrinda" w:hAnsi="Vrinda"/>
                <w:b/>
                <w:bCs/>
                <w:sz w:val="24"/>
                <w:szCs w:val="24"/>
              </w:rPr>
              <w:t>1</w:t>
            </w:r>
          </w:p>
        </w:tc>
      </w:tr>
      <w:tr w:rsidR="008276E3" w:rsidRPr="006B082B" w14:paraId="4FEB83CE" w14:textId="77777777" w:rsidTr="00F712C4">
        <w:trPr>
          <w:trHeight w:val="27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1BFF2AD5" w14:textId="77777777" w:rsidR="008276E3" w:rsidRPr="006B082B" w:rsidRDefault="008276E3" w:rsidP="00E932F7">
            <w:pPr>
              <w:spacing w:after="0" w:line="240" w:lineRule="auto"/>
              <w:rPr>
                <w:rFonts w:ascii="Vrinda" w:hAnsi="Vrinda"/>
                <w:b/>
                <w:bCs/>
              </w:rPr>
            </w:pPr>
            <w:r w:rsidRPr="006B082B">
              <w:rPr>
                <w:rFonts w:ascii="Vrinda" w:hAnsi="Vrinda"/>
                <w:b/>
                <w:bCs/>
              </w:rPr>
              <w:t>Semester:</w:t>
            </w:r>
          </w:p>
        </w:tc>
        <w:tc>
          <w:tcPr>
            <w:tcW w:w="7939" w:type="dxa"/>
            <w:tcBorders>
              <w:top w:val="single" w:sz="4" w:space="0" w:color="auto"/>
              <w:left w:val="single" w:sz="4" w:space="0" w:color="auto"/>
              <w:bottom w:val="single" w:sz="4" w:space="0" w:color="auto"/>
              <w:right w:val="single" w:sz="4" w:space="0" w:color="auto"/>
            </w:tcBorders>
          </w:tcPr>
          <w:p w14:paraId="271AF310" w14:textId="729E820F" w:rsidR="008276E3" w:rsidRPr="006B082B" w:rsidRDefault="002D4FD4" w:rsidP="008E11A7">
            <w:pPr>
              <w:spacing w:after="0" w:line="240" w:lineRule="auto"/>
              <w:jc w:val="center"/>
              <w:rPr>
                <w:rFonts w:ascii="Vrinda" w:hAnsi="Vrinda"/>
                <w:b/>
                <w:bCs/>
                <w:sz w:val="24"/>
                <w:szCs w:val="24"/>
              </w:rPr>
            </w:pPr>
            <w:r>
              <w:rPr>
                <w:rFonts w:ascii="Vrinda" w:hAnsi="Vrinda"/>
                <w:b/>
                <w:bCs/>
                <w:sz w:val="24"/>
                <w:szCs w:val="24"/>
              </w:rPr>
              <w:t>S</w:t>
            </w:r>
            <w:r w:rsidR="008E11A7">
              <w:rPr>
                <w:rFonts w:ascii="Vrinda" w:hAnsi="Vrinda"/>
                <w:b/>
                <w:bCs/>
                <w:sz w:val="24"/>
                <w:szCs w:val="24"/>
              </w:rPr>
              <w:t>pring</w:t>
            </w:r>
            <w:r w:rsidR="00EB2F7B">
              <w:rPr>
                <w:rFonts w:ascii="Vrinda" w:hAnsi="Vrinda"/>
                <w:b/>
                <w:bCs/>
                <w:sz w:val="24"/>
                <w:szCs w:val="24"/>
              </w:rPr>
              <w:t xml:space="preserve"> 20</w:t>
            </w:r>
            <w:r w:rsidR="00222DEF">
              <w:rPr>
                <w:rFonts w:ascii="Vrinda" w:hAnsi="Vrinda"/>
                <w:b/>
                <w:bCs/>
                <w:sz w:val="24"/>
                <w:szCs w:val="24"/>
              </w:rPr>
              <w:t>2</w:t>
            </w:r>
            <w:r w:rsidR="008E11A7">
              <w:rPr>
                <w:rFonts w:ascii="Vrinda" w:hAnsi="Vrinda"/>
                <w:b/>
                <w:bCs/>
                <w:sz w:val="24"/>
                <w:szCs w:val="24"/>
              </w:rPr>
              <w:t>4</w:t>
            </w:r>
          </w:p>
        </w:tc>
      </w:tr>
    </w:tbl>
    <w:p w14:paraId="192C4B42" w14:textId="77777777" w:rsidR="006F011B" w:rsidRPr="00D02678" w:rsidRDefault="006F011B" w:rsidP="00E932F7">
      <w:pPr>
        <w:spacing w:after="0" w:line="240" w:lineRule="auto"/>
        <w:jc w:val="center"/>
        <w:rPr>
          <w:rFonts w:ascii="Vrinda" w:hAnsi="Vrinda"/>
          <w:b/>
          <w:bCs/>
          <w:sz w:val="8"/>
          <w:szCs w:val="8"/>
        </w:rPr>
      </w:pPr>
    </w:p>
    <w:tbl>
      <w:tblPr>
        <w:tblW w:w="10056" w:type="dxa"/>
        <w:tblInd w:w="-318" w:type="dxa"/>
        <w:tblLook w:val="04A0" w:firstRow="1" w:lastRow="0" w:firstColumn="1" w:lastColumn="0" w:noHBand="0" w:noVBand="1"/>
      </w:tblPr>
      <w:tblGrid>
        <w:gridCol w:w="2008"/>
        <w:gridCol w:w="3254"/>
        <w:gridCol w:w="4794"/>
      </w:tblGrid>
      <w:tr w:rsidR="008276E3" w:rsidRPr="006B082B" w14:paraId="394A6D28" w14:textId="77777777" w:rsidTr="006B082B">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14:paraId="534FD926" w14:textId="77777777" w:rsidR="008276E3" w:rsidRPr="00CD77ED" w:rsidRDefault="008276E3" w:rsidP="00E932F7">
            <w:pPr>
              <w:pStyle w:val="Title"/>
              <w:widowControl/>
              <w:spacing w:after="0" w:line="240" w:lineRule="auto"/>
              <w:jc w:val="left"/>
              <w:rPr>
                <w:rFonts w:ascii="Verdana" w:hAnsi="Verdana" w:cs="Vrinda"/>
                <w:sz w:val="20"/>
                <w:szCs w:val="20"/>
                <w:u w:val="none"/>
                <w:lang w:val="en-US"/>
              </w:rPr>
            </w:pPr>
            <w:r w:rsidRPr="006B082B">
              <w:rPr>
                <w:rFonts w:ascii="Verdana" w:hAnsi="Verdana" w:cs="Vrinda"/>
                <w:sz w:val="20"/>
                <w:szCs w:val="20"/>
                <w:u w:val="none"/>
              </w:rPr>
              <w:t>Instructor &amp;</w:t>
            </w:r>
            <w:r w:rsidR="00685647">
              <w:rPr>
                <w:rFonts w:ascii="Verdana" w:hAnsi="Verdana" w:cs="Vrinda"/>
                <w:sz w:val="20"/>
                <w:szCs w:val="20"/>
                <w:u w:val="none"/>
              </w:rPr>
              <w:t xml:space="preserve"> Department Information</w:t>
            </w:r>
          </w:p>
        </w:tc>
      </w:tr>
      <w:tr w:rsidR="008276E3" w:rsidRPr="006B082B" w14:paraId="1AE958B0" w14:textId="77777777"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14:paraId="774A7603" w14:textId="77777777" w:rsidR="008276E3" w:rsidRPr="006B082B" w:rsidRDefault="008276E3" w:rsidP="00910BAE">
            <w:pPr>
              <w:pStyle w:val="ListParagraph"/>
              <w:numPr>
                <w:ilvl w:val="0"/>
                <w:numId w:val="27"/>
              </w:numPr>
              <w:spacing w:after="0" w:line="240" w:lineRule="auto"/>
              <w:ind w:left="318" w:right="-108" w:hanging="318"/>
              <w:rPr>
                <w:rFonts w:ascii="Verdana" w:hAnsi="Verdana"/>
                <w:b/>
                <w:bCs/>
                <w:sz w:val="16"/>
                <w:szCs w:val="16"/>
              </w:rPr>
            </w:pPr>
            <w:r w:rsidRPr="006B082B">
              <w:rPr>
                <w:rFonts w:ascii="Verdana" w:hAnsi="Verdana"/>
                <w:b/>
                <w:bCs/>
                <w:sz w:val="16"/>
                <w:szCs w:val="16"/>
              </w:rPr>
              <w:t>Instructor Name</w:t>
            </w:r>
          </w:p>
        </w:tc>
        <w:tc>
          <w:tcPr>
            <w:tcW w:w="7929" w:type="dxa"/>
            <w:gridSpan w:val="2"/>
            <w:tcBorders>
              <w:top w:val="single" w:sz="4" w:space="0" w:color="auto"/>
              <w:left w:val="single" w:sz="4" w:space="0" w:color="auto"/>
              <w:bottom w:val="single" w:sz="4" w:space="0" w:color="A6A6A6"/>
              <w:right w:val="single" w:sz="4" w:space="0" w:color="auto"/>
            </w:tcBorders>
          </w:tcPr>
          <w:p w14:paraId="7E9E5329" w14:textId="77777777" w:rsidR="008276E3" w:rsidRPr="00BB61C2" w:rsidRDefault="00222DEF" w:rsidP="00E932F7">
            <w:pPr>
              <w:spacing w:after="0" w:line="240" w:lineRule="auto"/>
              <w:rPr>
                <w:rFonts w:ascii="Verdana" w:hAnsi="Verdana"/>
                <w:b/>
                <w:smallCaps/>
                <w:sz w:val="16"/>
                <w:szCs w:val="16"/>
              </w:rPr>
            </w:pPr>
            <w:r w:rsidRPr="00222DEF">
              <w:rPr>
                <w:rFonts w:ascii="Verdana" w:hAnsi="Verdana"/>
                <w:b/>
                <w:smallCaps/>
                <w:sz w:val="18"/>
                <w:szCs w:val="18"/>
              </w:rPr>
              <w:t>Shahran Abu Sayeed</w:t>
            </w:r>
          </w:p>
        </w:tc>
      </w:tr>
      <w:tr w:rsidR="008276E3" w:rsidRPr="006B082B" w14:paraId="1D254C0C" w14:textId="77777777"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04FC171B" w14:textId="77777777" w:rsidR="008276E3" w:rsidRPr="006B082B" w:rsidRDefault="00642447" w:rsidP="00E932F7">
            <w:pPr>
              <w:pStyle w:val="ListParagraph"/>
              <w:numPr>
                <w:ilvl w:val="0"/>
                <w:numId w:val="27"/>
              </w:numPr>
              <w:spacing w:after="0" w:line="240" w:lineRule="auto"/>
              <w:ind w:left="318" w:hanging="318"/>
              <w:rPr>
                <w:rFonts w:ascii="Verdana" w:hAnsi="Verdana"/>
                <w:b/>
                <w:bCs/>
                <w:sz w:val="16"/>
                <w:szCs w:val="16"/>
              </w:rPr>
            </w:pPr>
            <w:r>
              <w:rPr>
                <w:rFonts w:ascii="Verdana" w:hAnsi="Verdana"/>
                <w:b/>
                <w:bCs/>
                <w:sz w:val="16"/>
                <w:szCs w:val="16"/>
              </w:rPr>
              <w:t>Office Room</w:t>
            </w:r>
          </w:p>
        </w:tc>
        <w:tc>
          <w:tcPr>
            <w:tcW w:w="7929" w:type="dxa"/>
            <w:gridSpan w:val="2"/>
            <w:tcBorders>
              <w:top w:val="single" w:sz="4" w:space="0" w:color="A6A6A6"/>
              <w:left w:val="single" w:sz="4" w:space="0" w:color="auto"/>
              <w:bottom w:val="single" w:sz="4" w:space="0" w:color="A6A6A6"/>
              <w:right w:val="single" w:sz="4" w:space="0" w:color="auto"/>
            </w:tcBorders>
          </w:tcPr>
          <w:p w14:paraId="560F1F01" w14:textId="77777777" w:rsidR="008276E3" w:rsidRPr="000F5EA7" w:rsidRDefault="00222DEF" w:rsidP="00276031">
            <w:pPr>
              <w:spacing w:after="0" w:line="240" w:lineRule="auto"/>
              <w:rPr>
                <w:rFonts w:ascii="Verdana" w:hAnsi="Verdana"/>
                <w:sz w:val="16"/>
                <w:szCs w:val="16"/>
              </w:rPr>
            </w:pPr>
            <w:r>
              <w:rPr>
                <w:rFonts w:ascii="Verdana" w:hAnsi="Verdana"/>
                <w:sz w:val="16"/>
                <w:szCs w:val="16"/>
              </w:rPr>
              <w:t xml:space="preserve">NAC </w:t>
            </w:r>
            <w:r w:rsidR="00276031">
              <w:rPr>
                <w:rFonts w:ascii="Verdana" w:hAnsi="Verdana"/>
                <w:sz w:val="16"/>
                <w:szCs w:val="16"/>
              </w:rPr>
              <w:t>762</w:t>
            </w:r>
          </w:p>
        </w:tc>
      </w:tr>
      <w:tr w:rsidR="009B6ECF" w:rsidRPr="006B082B" w14:paraId="44F571AC" w14:textId="77777777" w:rsidTr="00301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3AE3244D" w14:textId="77777777"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Office Hours:</w:t>
            </w:r>
          </w:p>
        </w:tc>
        <w:tc>
          <w:tcPr>
            <w:tcW w:w="7929" w:type="dxa"/>
            <w:gridSpan w:val="2"/>
            <w:tcBorders>
              <w:top w:val="single" w:sz="4" w:space="0" w:color="A6A6A6"/>
              <w:left w:val="single" w:sz="4" w:space="0" w:color="auto"/>
              <w:bottom w:val="single" w:sz="4" w:space="0" w:color="A6A6A6"/>
              <w:right w:val="single" w:sz="4" w:space="0" w:color="auto"/>
            </w:tcBorders>
          </w:tcPr>
          <w:tbl>
            <w:tblPr>
              <w:tblStyle w:val="TableGrid"/>
              <w:tblW w:w="7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3"/>
            </w:tblGrid>
            <w:tr w:rsidR="00117FDC" w:rsidRPr="002509AB" w14:paraId="76B0331A" w14:textId="77777777" w:rsidTr="00905B22">
              <w:trPr>
                <w:trHeight w:val="633"/>
              </w:trPr>
              <w:tc>
                <w:tcPr>
                  <w:tcW w:w="7783" w:type="dxa"/>
                </w:tcPr>
                <w:p w14:paraId="351611D0" w14:textId="77777777" w:rsidR="008E11A7" w:rsidRDefault="008E11A7" w:rsidP="008E11A7">
                  <w:pPr>
                    <w:rPr>
                      <w:rFonts w:cs="Calibri"/>
                      <w:color w:val="000000"/>
                    </w:rPr>
                  </w:pPr>
                  <w:r>
                    <w:rPr>
                      <w:rFonts w:cs="Calibri"/>
                      <w:color w:val="000000"/>
                    </w:rPr>
                    <w:t xml:space="preserve">Sunday </w:t>
                  </w:r>
                  <w:r w:rsidRPr="009423B5">
                    <w:rPr>
                      <w:rFonts w:cs="Calibri"/>
                      <w:color w:val="000000"/>
                    </w:rPr>
                    <w:t>: 1</w:t>
                  </w:r>
                  <w:r>
                    <w:rPr>
                      <w:rFonts w:cs="Calibri"/>
                      <w:color w:val="000000"/>
                    </w:rPr>
                    <w:t>0:45 A</w:t>
                  </w:r>
                  <w:r w:rsidRPr="009423B5">
                    <w:rPr>
                      <w:rFonts w:cs="Calibri"/>
                      <w:color w:val="000000"/>
                    </w:rPr>
                    <w:t>M – 1</w:t>
                  </w:r>
                  <w:r>
                    <w:rPr>
                      <w:rFonts w:cs="Calibri"/>
                      <w:color w:val="000000"/>
                    </w:rPr>
                    <w:t>2:10</w:t>
                  </w:r>
                  <w:r w:rsidRPr="009423B5">
                    <w:rPr>
                      <w:rFonts w:cs="Calibri"/>
                      <w:color w:val="000000"/>
                    </w:rPr>
                    <w:t xml:space="preserve"> </w:t>
                  </w:r>
                  <w:r>
                    <w:rPr>
                      <w:rFonts w:cs="Calibri"/>
                      <w:color w:val="000000"/>
                    </w:rPr>
                    <w:t>P</w:t>
                  </w:r>
                  <w:r w:rsidRPr="009423B5">
                    <w:rPr>
                      <w:rFonts w:cs="Calibri"/>
                      <w:color w:val="000000"/>
                    </w:rPr>
                    <w:t>M</w:t>
                  </w:r>
                </w:p>
                <w:p w14:paraId="2AB62B96" w14:textId="77777777" w:rsidR="008E11A7" w:rsidRDefault="008E11A7" w:rsidP="008E11A7">
                  <w:pPr>
                    <w:rPr>
                      <w:rFonts w:cs="Calibri"/>
                      <w:color w:val="000000"/>
                    </w:rPr>
                  </w:pPr>
                  <w:r>
                    <w:rPr>
                      <w:rFonts w:cs="Calibri"/>
                      <w:color w:val="000000"/>
                    </w:rPr>
                    <w:t>Monday : 12:10 pm – 1: 35 PM</w:t>
                  </w:r>
                </w:p>
                <w:p w14:paraId="29B2D6DC" w14:textId="77777777" w:rsidR="008E11A7" w:rsidRPr="009423B5" w:rsidRDefault="008E11A7" w:rsidP="008E11A7">
                  <w:pPr>
                    <w:rPr>
                      <w:rFonts w:cs="Calibri"/>
                      <w:color w:val="000000"/>
                    </w:rPr>
                  </w:pPr>
                  <w:r w:rsidRPr="009423B5">
                    <w:rPr>
                      <w:rFonts w:cs="Calibri"/>
                      <w:color w:val="000000"/>
                    </w:rPr>
                    <w:t>T</w:t>
                  </w:r>
                  <w:r>
                    <w:rPr>
                      <w:rFonts w:cs="Calibri"/>
                      <w:color w:val="000000"/>
                    </w:rPr>
                    <w:t xml:space="preserve">uesday </w:t>
                  </w:r>
                  <w:r w:rsidRPr="009423B5">
                    <w:rPr>
                      <w:rFonts w:cs="Calibri"/>
                      <w:color w:val="000000"/>
                    </w:rPr>
                    <w:t>: 1</w:t>
                  </w:r>
                  <w:r>
                    <w:rPr>
                      <w:rFonts w:cs="Calibri"/>
                      <w:color w:val="000000"/>
                    </w:rPr>
                    <w:t>0:45 A</w:t>
                  </w:r>
                  <w:r w:rsidRPr="009423B5">
                    <w:rPr>
                      <w:rFonts w:cs="Calibri"/>
                      <w:color w:val="000000"/>
                    </w:rPr>
                    <w:t>M – 1</w:t>
                  </w:r>
                  <w:r>
                    <w:rPr>
                      <w:rFonts w:cs="Calibri"/>
                      <w:color w:val="000000"/>
                    </w:rPr>
                    <w:t>2:10</w:t>
                  </w:r>
                  <w:r w:rsidRPr="009423B5">
                    <w:rPr>
                      <w:rFonts w:cs="Calibri"/>
                      <w:color w:val="000000"/>
                    </w:rPr>
                    <w:t xml:space="preserve"> </w:t>
                  </w:r>
                  <w:r>
                    <w:rPr>
                      <w:rFonts w:cs="Calibri"/>
                      <w:color w:val="000000"/>
                    </w:rPr>
                    <w:t>P</w:t>
                  </w:r>
                  <w:r w:rsidRPr="009423B5">
                    <w:rPr>
                      <w:rFonts w:cs="Calibri"/>
                      <w:color w:val="000000"/>
                    </w:rPr>
                    <w:t>M</w:t>
                  </w:r>
                  <w:r>
                    <w:rPr>
                      <w:rFonts w:cs="Calibri"/>
                      <w:color w:val="000000"/>
                    </w:rPr>
                    <w:t xml:space="preserve"> &amp; 1:35 PM – 3:25</w:t>
                  </w:r>
                  <w:r w:rsidRPr="009423B5">
                    <w:rPr>
                      <w:rFonts w:cs="Calibri"/>
                      <w:color w:val="000000"/>
                    </w:rPr>
                    <w:t xml:space="preserve"> PM</w:t>
                  </w:r>
                </w:p>
                <w:p w14:paraId="586D5DB1" w14:textId="4CE986B2" w:rsidR="00117FDC" w:rsidRPr="00D950D7" w:rsidRDefault="008E11A7" w:rsidP="008E11A7">
                  <w:pPr>
                    <w:spacing w:after="0" w:line="240" w:lineRule="auto"/>
                    <w:ind w:left="-68"/>
                    <w:rPr>
                      <w:rFonts w:ascii="Verdana" w:hAnsi="Verdana"/>
                      <w:sz w:val="16"/>
                    </w:rPr>
                  </w:pPr>
                  <w:r>
                    <w:rPr>
                      <w:rFonts w:cs="Calibri"/>
                      <w:color w:val="000000"/>
                    </w:rPr>
                    <w:t>Wednesday: 12:10 pm – 1: 35 PM</w:t>
                  </w:r>
                </w:p>
              </w:tc>
            </w:tr>
          </w:tbl>
          <w:p w14:paraId="60A56A8C" w14:textId="77777777" w:rsidR="009B6ECF" w:rsidRPr="006B082B" w:rsidRDefault="009B6ECF" w:rsidP="00A32A90">
            <w:pPr>
              <w:spacing w:after="0" w:line="240" w:lineRule="auto"/>
              <w:rPr>
                <w:rFonts w:ascii="Verdana" w:hAnsi="Verdana"/>
                <w:sz w:val="16"/>
                <w:szCs w:val="16"/>
              </w:rPr>
            </w:pPr>
          </w:p>
        </w:tc>
      </w:tr>
      <w:tr w:rsidR="009B6ECF" w:rsidRPr="006B082B" w14:paraId="578D8E17" w14:textId="77777777"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1716B425" w14:textId="77777777"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Office Phone:</w:t>
            </w:r>
          </w:p>
        </w:tc>
        <w:tc>
          <w:tcPr>
            <w:tcW w:w="7929" w:type="dxa"/>
            <w:gridSpan w:val="2"/>
            <w:tcBorders>
              <w:top w:val="single" w:sz="4" w:space="0" w:color="A6A6A6"/>
              <w:left w:val="single" w:sz="4" w:space="0" w:color="auto"/>
              <w:bottom w:val="single" w:sz="4" w:space="0" w:color="A6A6A6"/>
              <w:right w:val="single" w:sz="4" w:space="0" w:color="auto"/>
            </w:tcBorders>
          </w:tcPr>
          <w:p w14:paraId="5D09AF0E" w14:textId="086EEF03" w:rsidR="009B6ECF" w:rsidRPr="000F5EA7" w:rsidRDefault="00222DEF" w:rsidP="00E932F7">
            <w:pPr>
              <w:spacing w:after="0" w:line="240" w:lineRule="auto"/>
              <w:rPr>
                <w:rFonts w:ascii="Verdana" w:hAnsi="Verdana"/>
                <w:sz w:val="16"/>
                <w:szCs w:val="16"/>
              </w:rPr>
            </w:pPr>
            <w:r>
              <w:rPr>
                <w:rFonts w:ascii="Verdana" w:hAnsi="Verdana"/>
                <w:sz w:val="16"/>
                <w:szCs w:val="16"/>
              </w:rPr>
              <w:t>Ext: 1734</w:t>
            </w:r>
          </w:p>
        </w:tc>
      </w:tr>
      <w:tr w:rsidR="009B6ECF" w:rsidRPr="006B082B" w14:paraId="0267277C" w14:textId="77777777"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6C90F8AC" w14:textId="77777777"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Email Address:</w:t>
            </w:r>
          </w:p>
        </w:tc>
        <w:tc>
          <w:tcPr>
            <w:tcW w:w="7929" w:type="dxa"/>
            <w:gridSpan w:val="2"/>
            <w:tcBorders>
              <w:top w:val="single" w:sz="4" w:space="0" w:color="A6A6A6"/>
              <w:left w:val="single" w:sz="4" w:space="0" w:color="auto"/>
              <w:bottom w:val="single" w:sz="4" w:space="0" w:color="A6A6A6"/>
              <w:right w:val="single" w:sz="4" w:space="0" w:color="auto"/>
            </w:tcBorders>
          </w:tcPr>
          <w:p w14:paraId="10A0C30B" w14:textId="77777777" w:rsidR="009B6ECF" w:rsidRPr="000F5EA7" w:rsidRDefault="00222DEF" w:rsidP="00222DEF">
            <w:pPr>
              <w:spacing w:after="0" w:line="240" w:lineRule="auto"/>
              <w:rPr>
                <w:rFonts w:ascii="Verdana" w:hAnsi="Verdana"/>
                <w:sz w:val="16"/>
                <w:szCs w:val="16"/>
              </w:rPr>
            </w:pPr>
            <w:r>
              <w:rPr>
                <w:rStyle w:val="Hyperlink"/>
                <w:rFonts w:ascii="Verdana" w:hAnsi="Verdana"/>
                <w:sz w:val="16"/>
                <w:szCs w:val="16"/>
              </w:rPr>
              <w:t>shahran.sayeed@northsouth.edu</w:t>
            </w:r>
          </w:p>
        </w:tc>
      </w:tr>
      <w:tr w:rsidR="009B6ECF" w:rsidRPr="006B082B" w14:paraId="140534A3" w14:textId="77777777"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4A627326" w14:textId="77777777"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tcPr>
          <w:p w14:paraId="3DE84E00" w14:textId="77777777" w:rsidR="009B6ECF" w:rsidRPr="000F5EA7" w:rsidRDefault="009B6ECF" w:rsidP="00E932F7">
            <w:pPr>
              <w:tabs>
                <w:tab w:val="left" w:pos="2279"/>
              </w:tabs>
              <w:spacing w:after="0" w:line="240" w:lineRule="auto"/>
              <w:rPr>
                <w:rFonts w:ascii="Verdana" w:hAnsi="Verdana"/>
                <w:sz w:val="16"/>
                <w:szCs w:val="16"/>
              </w:rPr>
            </w:pPr>
            <w:r w:rsidRPr="000F5EA7">
              <w:rPr>
                <w:rFonts w:ascii="Verdana" w:hAnsi="Verdana"/>
                <w:sz w:val="16"/>
                <w:szCs w:val="16"/>
              </w:rPr>
              <w:t>Accounting and Finance</w:t>
            </w:r>
          </w:p>
        </w:tc>
      </w:tr>
      <w:tr w:rsidR="009B6ECF" w:rsidRPr="006B082B" w14:paraId="4565B5D7" w14:textId="77777777"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26C11481" w14:textId="77777777"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Pr>
                <w:rFonts w:ascii="Verdana" w:hAnsi="Verdana"/>
                <w:b/>
                <w:bCs/>
                <w:sz w:val="16"/>
                <w:szCs w:val="16"/>
              </w:rPr>
              <w:t>Links</w:t>
            </w:r>
          </w:p>
        </w:tc>
        <w:tc>
          <w:tcPr>
            <w:tcW w:w="7929" w:type="dxa"/>
            <w:gridSpan w:val="2"/>
            <w:tcBorders>
              <w:top w:val="single" w:sz="4" w:space="0" w:color="A6A6A6"/>
              <w:left w:val="single" w:sz="4" w:space="0" w:color="auto"/>
              <w:bottom w:val="single" w:sz="4" w:space="0" w:color="A6A6A6"/>
              <w:right w:val="single" w:sz="4" w:space="0" w:color="auto"/>
            </w:tcBorders>
          </w:tcPr>
          <w:p w14:paraId="583C50AF" w14:textId="77777777" w:rsidR="00222DEF" w:rsidRPr="00775094" w:rsidRDefault="00222DEF" w:rsidP="00222DEF">
            <w:pPr>
              <w:pStyle w:val="NoSpacing"/>
              <w:rPr>
                <w:rFonts w:ascii="Times New Roman" w:hAnsi="Times New Roman"/>
                <w:sz w:val="20"/>
                <w:szCs w:val="20"/>
              </w:rPr>
            </w:pPr>
            <w:r w:rsidRPr="00775094">
              <w:rPr>
                <w:rFonts w:ascii="Times New Roman" w:hAnsi="Times New Roman"/>
                <w:sz w:val="20"/>
                <w:szCs w:val="20"/>
              </w:rPr>
              <w:t xml:space="preserve">North South University Website: </w:t>
            </w:r>
            <w:hyperlink r:id="rId9" w:history="1">
              <w:r w:rsidRPr="00775094">
                <w:rPr>
                  <w:rFonts w:ascii="Times New Roman" w:hAnsi="Times New Roman"/>
                  <w:sz w:val="20"/>
                  <w:szCs w:val="20"/>
                </w:rPr>
                <w:t>http://www.northsouth.edu</w:t>
              </w:r>
            </w:hyperlink>
          </w:p>
          <w:p w14:paraId="1CF02FC7" w14:textId="77777777" w:rsidR="009B6ECF" w:rsidRPr="00222DEF" w:rsidRDefault="00222DEF" w:rsidP="00222DEF">
            <w:pPr>
              <w:pStyle w:val="NoSpacing"/>
              <w:rPr>
                <w:rFonts w:ascii="Times New Roman" w:hAnsi="Times New Roman"/>
                <w:sz w:val="20"/>
                <w:szCs w:val="20"/>
              </w:rPr>
            </w:pPr>
            <w:r w:rsidRPr="00775094">
              <w:rPr>
                <w:rFonts w:ascii="Times New Roman" w:hAnsi="Times New Roman"/>
                <w:sz w:val="20"/>
                <w:szCs w:val="20"/>
              </w:rPr>
              <w:t xml:space="preserve">School of Business Website: </w:t>
            </w:r>
            <w:hyperlink r:id="rId10" w:history="1">
              <w:r w:rsidRPr="00775094">
                <w:rPr>
                  <w:rFonts w:ascii="Times New Roman" w:hAnsi="Times New Roman"/>
                  <w:sz w:val="20"/>
                  <w:szCs w:val="20"/>
                </w:rPr>
                <w:t>http://www.northsouth.edu/academic/sob/</w:t>
              </w:r>
            </w:hyperlink>
          </w:p>
        </w:tc>
      </w:tr>
    </w:tbl>
    <w:p w14:paraId="69FDDD0F" w14:textId="77777777" w:rsidR="0088226E" w:rsidRPr="007460CE" w:rsidRDefault="0088226E" w:rsidP="00E932F7">
      <w:pPr>
        <w:spacing w:after="0" w:line="240" w:lineRule="auto"/>
        <w:rPr>
          <w:rFonts w:ascii="Verdana" w:hAnsi="Verdana"/>
          <w:b/>
          <w:bCs/>
          <w:sz w:val="18"/>
          <w:szCs w:val="1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27"/>
        <w:gridCol w:w="3078"/>
        <w:gridCol w:w="4851"/>
      </w:tblGrid>
      <w:tr w:rsidR="008276E3" w:rsidRPr="006B082B" w14:paraId="368BAE1F" w14:textId="77777777" w:rsidTr="006B082B">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cPr>
          <w:p w14:paraId="4B166E20" w14:textId="77777777" w:rsidR="008276E3" w:rsidRPr="006B082B" w:rsidRDefault="008276E3" w:rsidP="00E932F7">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 xml:space="preserve">Course &amp; Section Information </w:t>
            </w:r>
          </w:p>
        </w:tc>
      </w:tr>
      <w:tr w:rsidR="008276E3" w:rsidRPr="006B082B" w14:paraId="64AB3F69" w14:textId="77777777" w:rsidTr="00824927">
        <w:tblPrEx>
          <w:shd w:val="clear" w:color="auto" w:fill="auto"/>
        </w:tblPrEx>
        <w:trPr>
          <w:trHeight w:val="486"/>
        </w:trPr>
        <w:tc>
          <w:tcPr>
            <w:tcW w:w="2127" w:type="dxa"/>
            <w:tcBorders>
              <w:top w:val="single" w:sz="4" w:space="0" w:color="auto"/>
              <w:left w:val="single" w:sz="4" w:space="0" w:color="auto"/>
              <w:bottom w:val="single" w:sz="4" w:space="0" w:color="A6A6A6"/>
              <w:right w:val="single" w:sz="4" w:space="0" w:color="auto"/>
            </w:tcBorders>
            <w:shd w:val="clear" w:color="auto" w:fill="auto"/>
          </w:tcPr>
          <w:p w14:paraId="27A3B5B4" w14:textId="77777777" w:rsidR="008276E3" w:rsidRPr="006B082B" w:rsidRDefault="008276E3" w:rsidP="00E932F7">
            <w:pPr>
              <w:spacing w:after="0" w:line="240" w:lineRule="auto"/>
              <w:ind w:right="33"/>
              <w:rPr>
                <w:rFonts w:ascii="Verdana" w:hAnsi="Verdana"/>
                <w:b/>
                <w:bCs/>
                <w:sz w:val="16"/>
                <w:szCs w:val="16"/>
              </w:rPr>
            </w:pPr>
            <w:r w:rsidRPr="006B082B">
              <w:rPr>
                <w:rFonts w:ascii="Verdana" w:hAnsi="Verdana"/>
                <w:b/>
                <w:bCs/>
                <w:sz w:val="16"/>
                <w:szCs w:val="16"/>
              </w:rPr>
              <w:t>Class Time &amp; Location</w:t>
            </w:r>
          </w:p>
        </w:tc>
        <w:tc>
          <w:tcPr>
            <w:tcW w:w="7929" w:type="dxa"/>
            <w:gridSpan w:val="2"/>
            <w:tcBorders>
              <w:top w:val="single" w:sz="4" w:space="0" w:color="auto"/>
              <w:left w:val="single" w:sz="4" w:space="0" w:color="auto"/>
              <w:bottom w:val="single" w:sz="4" w:space="0" w:color="A6A6A6"/>
              <w:right w:val="single" w:sz="4" w:space="0" w:color="auto"/>
            </w:tcBorders>
          </w:tcPr>
          <w:p w14:paraId="4E7E7715" w14:textId="53E3EF81" w:rsidR="009B6ECF" w:rsidRPr="000F5EA7" w:rsidRDefault="008E11A7" w:rsidP="002D4FD4">
            <w:pPr>
              <w:spacing w:after="0" w:line="240" w:lineRule="auto"/>
              <w:rPr>
                <w:rFonts w:ascii="Verdana" w:hAnsi="Verdana"/>
                <w:sz w:val="16"/>
                <w:szCs w:val="16"/>
              </w:rPr>
            </w:pPr>
            <w:r>
              <w:rPr>
                <w:rFonts w:ascii="Verdana" w:hAnsi="Verdana"/>
                <w:sz w:val="16"/>
                <w:szCs w:val="16"/>
              </w:rPr>
              <w:t>MW</w:t>
            </w:r>
            <w:r w:rsidR="002D4FD4">
              <w:rPr>
                <w:rFonts w:ascii="Verdana" w:hAnsi="Verdana"/>
                <w:sz w:val="16"/>
                <w:szCs w:val="16"/>
              </w:rPr>
              <w:t>: 1</w:t>
            </w:r>
            <w:r w:rsidR="00DA709B">
              <w:rPr>
                <w:rFonts w:ascii="Verdana" w:hAnsi="Verdana"/>
                <w:sz w:val="16"/>
                <w:szCs w:val="16"/>
              </w:rPr>
              <w:t>:</w:t>
            </w:r>
            <w:r w:rsidR="006751DC">
              <w:rPr>
                <w:rFonts w:ascii="Verdana" w:hAnsi="Verdana"/>
                <w:sz w:val="16"/>
                <w:szCs w:val="16"/>
              </w:rPr>
              <w:t>40</w:t>
            </w:r>
            <w:r w:rsidR="00DA709B">
              <w:rPr>
                <w:rFonts w:ascii="Verdana" w:hAnsi="Verdana"/>
                <w:sz w:val="16"/>
                <w:szCs w:val="16"/>
              </w:rPr>
              <w:t xml:space="preserve"> </w:t>
            </w:r>
            <w:r w:rsidR="006751DC">
              <w:rPr>
                <w:rFonts w:ascii="Verdana" w:hAnsi="Verdana"/>
                <w:sz w:val="16"/>
                <w:szCs w:val="16"/>
              </w:rPr>
              <w:t>P</w:t>
            </w:r>
            <w:r w:rsidR="00DA709B">
              <w:rPr>
                <w:rFonts w:ascii="Verdana" w:hAnsi="Verdana"/>
                <w:sz w:val="16"/>
                <w:szCs w:val="16"/>
              </w:rPr>
              <w:t>M -</w:t>
            </w:r>
            <w:r w:rsidR="00C25014">
              <w:rPr>
                <w:rFonts w:ascii="Verdana" w:hAnsi="Verdana"/>
                <w:sz w:val="16"/>
                <w:szCs w:val="16"/>
              </w:rPr>
              <w:t xml:space="preserve"> </w:t>
            </w:r>
            <w:r w:rsidR="006751DC">
              <w:rPr>
                <w:rFonts w:ascii="Verdana" w:hAnsi="Verdana"/>
                <w:sz w:val="16"/>
                <w:szCs w:val="16"/>
              </w:rPr>
              <w:t>2</w:t>
            </w:r>
            <w:r w:rsidR="00DA709B">
              <w:rPr>
                <w:rFonts w:ascii="Verdana" w:hAnsi="Verdana"/>
                <w:sz w:val="16"/>
                <w:szCs w:val="16"/>
              </w:rPr>
              <w:t>:</w:t>
            </w:r>
            <w:r w:rsidR="006751DC">
              <w:rPr>
                <w:rFonts w:ascii="Verdana" w:hAnsi="Verdana"/>
                <w:sz w:val="16"/>
                <w:szCs w:val="16"/>
              </w:rPr>
              <w:t>55</w:t>
            </w:r>
            <w:r w:rsidR="004A2153">
              <w:rPr>
                <w:rFonts w:ascii="Verdana" w:hAnsi="Verdana"/>
                <w:sz w:val="16"/>
                <w:szCs w:val="16"/>
              </w:rPr>
              <w:t xml:space="preserve"> </w:t>
            </w:r>
            <w:r w:rsidR="006751DC">
              <w:rPr>
                <w:rFonts w:ascii="Verdana" w:hAnsi="Verdana"/>
                <w:sz w:val="16"/>
                <w:szCs w:val="16"/>
              </w:rPr>
              <w:t>P</w:t>
            </w:r>
            <w:r w:rsidR="00DA709B">
              <w:rPr>
                <w:rFonts w:ascii="Verdana" w:hAnsi="Verdana"/>
                <w:sz w:val="16"/>
                <w:szCs w:val="16"/>
              </w:rPr>
              <w:t>M</w:t>
            </w:r>
            <w:r w:rsidR="002D4FD4">
              <w:rPr>
                <w:rFonts w:ascii="Verdana" w:hAnsi="Verdana"/>
                <w:sz w:val="16"/>
                <w:szCs w:val="16"/>
              </w:rPr>
              <w:t>,</w:t>
            </w:r>
            <w:r w:rsidR="00DA709B">
              <w:rPr>
                <w:rFonts w:ascii="Verdana" w:hAnsi="Verdana"/>
                <w:sz w:val="16"/>
                <w:szCs w:val="16"/>
              </w:rPr>
              <w:t xml:space="preserve"> </w:t>
            </w:r>
            <w:r w:rsidR="00B32726">
              <w:rPr>
                <w:rFonts w:ascii="Verdana" w:hAnsi="Verdana"/>
                <w:sz w:val="16"/>
                <w:szCs w:val="16"/>
              </w:rPr>
              <w:t>NAC</w:t>
            </w:r>
            <w:r w:rsidR="00440A11">
              <w:rPr>
                <w:rFonts w:ascii="Verdana" w:hAnsi="Verdana"/>
                <w:sz w:val="16"/>
                <w:szCs w:val="16"/>
              </w:rPr>
              <w:t xml:space="preserve"> </w:t>
            </w:r>
            <w:r>
              <w:rPr>
                <w:rFonts w:ascii="Verdana" w:hAnsi="Verdana"/>
                <w:sz w:val="16"/>
                <w:szCs w:val="16"/>
              </w:rPr>
              <w:t>310</w:t>
            </w:r>
          </w:p>
        </w:tc>
        <w:bookmarkStart w:id="0" w:name="_GoBack"/>
        <w:bookmarkEnd w:id="0"/>
      </w:tr>
      <w:tr w:rsidR="00E57A9B" w:rsidRPr="006B082B" w14:paraId="3DC7CD54" w14:textId="77777777" w:rsidTr="00824927">
        <w:tblPrEx>
          <w:shd w:val="clear" w:color="auto" w:fill="auto"/>
        </w:tblPrEx>
        <w:trPr>
          <w:trHeight w:val="432"/>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18AC96BC" w14:textId="77777777"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Prerequisite(s)</w:t>
            </w:r>
          </w:p>
        </w:tc>
        <w:tc>
          <w:tcPr>
            <w:tcW w:w="7929" w:type="dxa"/>
            <w:gridSpan w:val="2"/>
            <w:tcBorders>
              <w:top w:val="single" w:sz="4" w:space="0" w:color="A6A6A6"/>
              <w:left w:val="single" w:sz="4" w:space="0" w:color="auto"/>
              <w:bottom w:val="single" w:sz="4" w:space="0" w:color="A6A6A6"/>
              <w:right w:val="single" w:sz="4" w:space="0" w:color="auto"/>
            </w:tcBorders>
          </w:tcPr>
          <w:p w14:paraId="301F59E1" w14:textId="77777777" w:rsidR="00E57A9B" w:rsidRPr="000F5EA7" w:rsidRDefault="00E57A9B" w:rsidP="00055DAB">
            <w:pPr>
              <w:spacing w:after="0" w:line="240" w:lineRule="auto"/>
              <w:rPr>
                <w:rFonts w:ascii="Verdana" w:hAnsi="Verdana"/>
                <w:sz w:val="16"/>
                <w:szCs w:val="16"/>
              </w:rPr>
            </w:pPr>
            <w:r w:rsidRPr="000F5EA7">
              <w:rPr>
                <w:rFonts w:ascii="Verdana" w:hAnsi="Verdana"/>
                <w:sz w:val="16"/>
                <w:szCs w:val="16"/>
              </w:rPr>
              <w:t>FIN254, ACT201, BUS172.  Students are strongly suggested to revise FIN254 materials thoroughly.</w:t>
            </w:r>
          </w:p>
        </w:tc>
      </w:tr>
      <w:tr w:rsidR="00E57A9B" w:rsidRPr="006B082B" w14:paraId="5BBEC828" w14:textId="77777777" w:rsidTr="00123E29">
        <w:tblPrEx>
          <w:shd w:val="clear" w:color="auto" w:fill="auto"/>
        </w:tblPrEx>
        <w:trPr>
          <w:trHeight w:val="288"/>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351CD905" w14:textId="77777777"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Credit Hours</w:t>
            </w:r>
          </w:p>
        </w:tc>
        <w:tc>
          <w:tcPr>
            <w:tcW w:w="7929" w:type="dxa"/>
            <w:gridSpan w:val="2"/>
            <w:tcBorders>
              <w:top w:val="single" w:sz="4" w:space="0" w:color="A6A6A6"/>
              <w:left w:val="single" w:sz="4" w:space="0" w:color="auto"/>
              <w:bottom w:val="single" w:sz="4" w:space="0" w:color="A6A6A6"/>
              <w:right w:val="single" w:sz="4" w:space="0" w:color="auto"/>
            </w:tcBorders>
          </w:tcPr>
          <w:p w14:paraId="2EBE75ED" w14:textId="77777777" w:rsidR="00E57A9B" w:rsidRPr="000F5EA7" w:rsidRDefault="00E57A9B" w:rsidP="00E932F7">
            <w:pPr>
              <w:spacing w:after="0" w:line="240" w:lineRule="auto"/>
              <w:rPr>
                <w:rFonts w:ascii="Verdana" w:hAnsi="Verdana"/>
                <w:sz w:val="16"/>
                <w:szCs w:val="16"/>
              </w:rPr>
            </w:pPr>
            <w:r w:rsidRPr="000F5EA7">
              <w:rPr>
                <w:rFonts w:ascii="Verdana" w:hAnsi="Verdana"/>
                <w:sz w:val="16"/>
                <w:szCs w:val="16"/>
              </w:rPr>
              <w:t>3.0</w:t>
            </w:r>
          </w:p>
        </w:tc>
      </w:tr>
      <w:tr w:rsidR="00E57A9B" w:rsidRPr="006B082B" w14:paraId="5443D8A5" w14:textId="77777777" w:rsidTr="00F712C4">
        <w:tblPrEx>
          <w:shd w:val="clear" w:color="auto" w:fill="auto"/>
        </w:tblPrEx>
        <w:trPr>
          <w:trHeight w:val="934"/>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4111962D" w14:textId="77777777"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Description</w:t>
            </w:r>
          </w:p>
        </w:tc>
        <w:tc>
          <w:tcPr>
            <w:tcW w:w="7929" w:type="dxa"/>
            <w:gridSpan w:val="2"/>
            <w:tcBorders>
              <w:top w:val="single" w:sz="4" w:space="0" w:color="A6A6A6"/>
              <w:left w:val="single" w:sz="4" w:space="0" w:color="auto"/>
              <w:bottom w:val="single" w:sz="4" w:space="0" w:color="A6A6A6"/>
              <w:right w:val="single" w:sz="4" w:space="0" w:color="auto"/>
            </w:tcBorders>
          </w:tcPr>
          <w:p w14:paraId="5ABB088C" w14:textId="77777777" w:rsidR="00E57A9B" w:rsidRPr="000F5EA7" w:rsidRDefault="00E57A9B" w:rsidP="00E57A9B">
            <w:pPr>
              <w:spacing w:after="0"/>
              <w:rPr>
                <w:rFonts w:ascii="Verdana" w:hAnsi="Verdana"/>
                <w:sz w:val="16"/>
                <w:szCs w:val="16"/>
              </w:rPr>
            </w:pPr>
            <w:r w:rsidRPr="000F5EA7">
              <w:rPr>
                <w:rFonts w:ascii="Verdana" w:hAnsi="Verdana"/>
                <w:sz w:val="16"/>
                <w:szCs w:val="16"/>
              </w:rPr>
              <w:t>This course examines in details investment and financing, and their interrelatedness. The overall goal is to obtain a comprehensive and in-depth perspective of the area of Corporate Finance. Major topics include financial analysis and planning, valuation, capital budgeting, capital structure, dividend policy, working capital management, mergers and acquisition, hybrid financing, bankruptcy, multinational financial management, and risk management. Special emphasis is given on integration of the concepts of financial management into a total systems approach to business decision-making.</w:t>
            </w:r>
          </w:p>
        </w:tc>
      </w:tr>
      <w:tr w:rsidR="00E57A9B" w:rsidRPr="006B082B" w14:paraId="20A59EBB" w14:textId="77777777" w:rsidTr="006B082B">
        <w:tblPrEx>
          <w:shd w:val="clear" w:color="auto" w:fill="auto"/>
        </w:tblPrEx>
        <w:trPr>
          <w:trHeight w:val="1266"/>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49DB2076" w14:textId="77777777"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Objectives</w:t>
            </w:r>
          </w:p>
        </w:tc>
        <w:tc>
          <w:tcPr>
            <w:tcW w:w="7929" w:type="dxa"/>
            <w:gridSpan w:val="2"/>
            <w:tcBorders>
              <w:top w:val="single" w:sz="4" w:space="0" w:color="A6A6A6"/>
              <w:left w:val="single" w:sz="4" w:space="0" w:color="auto"/>
              <w:bottom w:val="single" w:sz="4" w:space="0" w:color="A6A6A6"/>
              <w:right w:val="single" w:sz="4" w:space="0" w:color="auto"/>
            </w:tcBorders>
          </w:tcPr>
          <w:p w14:paraId="767925A2" w14:textId="77777777" w:rsidR="00E57A9B" w:rsidRPr="000F5EA7" w:rsidRDefault="00E57A9B" w:rsidP="00E57A9B">
            <w:pPr>
              <w:spacing w:after="0"/>
              <w:rPr>
                <w:rFonts w:ascii="Verdana" w:hAnsi="Verdana"/>
                <w:sz w:val="16"/>
                <w:szCs w:val="16"/>
              </w:rPr>
            </w:pPr>
            <w:r w:rsidRPr="000F5EA7">
              <w:rPr>
                <w:rFonts w:ascii="Verdana" w:hAnsi="Verdana"/>
                <w:sz w:val="16"/>
                <w:szCs w:val="16"/>
              </w:rPr>
              <w:t>This course is designed to provide students with a deeper understanding of how firms finance, invest and manage themselves in the `real world'. In FIN254, we typically assume that financial markets are perfect. In practice, firms face a variety of market imperfections. For example: flotation costs for equity is considerably higher than for debt; firms sometimes face significant costs in raising capital; shareholders cannot constantly supervise managers; certain expenses can be claimed as tax deductions whereas others cannot etc. After completing this course, you will better understand how shareholders try to maximize the value of their stake in the firm given such market imperfections. In this course we will mainly be discussing analysis of financial statements including financial planning, capital budgeting, valuation, capital structure, and payout policy.</w:t>
            </w:r>
          </w:p>
        </w:tc>
      </w:tr>
      <w:tr w:rsidR="00E57A9B" w:rsidRPr="006B082B" w14:paraId="18D59A7D" w14:textId="77777777" w:rsidTr="00E932F7">
        <w:tblPrEx>
          <w:shd w:val="clear" w:color="auto" w:fill="auto"/>
        </w:tblPrEx>
        <w:trPr>
          <w:trHeight w:val="1116"/>
        </w:trPr>
        <w:tc>
          <w:tcPr>
            <w:tcW w:w="2127" w:type="dxa"/>
            <w:tcBorders>
              <w:top w:val="single" w:sz="4" w:space="0" w:color="A6A6A6"/>
              <w:left w:val="single" w:sz="4" w:space="0" w:color="auto"/>
              <w:bottom w:val="single" w:sz="4" w:space="0" w:color="auto"/>
              <w:right w:val="single" w:sz="4" w:space="0" w:color="auto"/>
            </w:tcBorders>
            <w:shd w:val="clear" w:color="auto" w:fill="auto"/>
          </w:tcPr>
          <w:p w14:paraId="0CC72E8C" w14:textId="77777777"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Student Learning Outcomes</w:t>
            </w:r>
          </w:p>
        </w:tc>
        <w:tc>
          <w:tcPr>
            <w:tcW w:w="7929" w:type="dxa"/>
            <w:gridSpan w:val="2"/>
            <w:tcBorders>
              <w:top w:val="single" w:sz="4" w:space="0" w:color="A6A6A6"/>
              <w:left w:val="single" w:sz="4" w:space="0" w:color="auto"/>
              <w:bottom w:val="single" w:sz="4" w:space="0" w:color="auto"/>
              <w:right w:val="single" w:sz="4" w:space="0" w:color="auto"/>
            </w:tcBorders>
          </w:tcPr>
          <w:p w14:paraId="505176B1" w14:textId="77777777" w:rsidR="00E57A9B" w:rsidRPr="000F5EA7" w:rsidRDefault="00E57A9B" w:rsidP="00E57A9B">
            <w:pPr>
              <w:spacing w:after="0"/>
              <w:rPr>
                <w:rFonts w:ascii="Verdana" w:hAnsi="Verdana"/>
                <w:sz w:val="16"/>
                <w:szCs w:val="16"/>
              </w:rPr>
            </w:pPr>
            <w:r w:rsidRPr="000F5EA7">
              <w:rPr>
                <w:rFonts w:ascii="Verdana" w:hAnsi="Verdana"/>
                <w:sz w:val="16"/>
                <w:szCs w:val="16"/>
              </w:rPr>
              <w:t xml:space="preserve">Upon the successful completion of this course, a student will be able to: </w:t>
            </w:r>
          </w:p>
          <w:p w14:paraId="6043493A" w14:textId="77777777"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(1) Analyze financial statements using vertical, horizontal, and standard financial ratios to determine a firm’s strengths and weaknesses, and be able to use the analysis to improve performance. Apply techniques to project financial statements for forecasting long-term financial needs.</w:t>
            </w:r>
          </w:p>
          <w:p w14:paraId="105D299D" w14:textId="77777777"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(2) Demonstrate proficiency in valuation techniques. Apply future value and present value concepts to single sums, mixed streams, annuities, and perpetuities. Describe what determines the value of a firm’s securities and how management can influence these values.</w:t>
            </w:r>
          </w:p>
          <w:p w14:paraId="611222F5" w14:textId="77777777"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lastRenderedPageBreak/>
              <w:t>(3) Apply the concept of risk, its measurement for single assets and portfolios, various types of risk, the source and use of betas, and the CAPM and SML. Apply techniques for estimating the cost of each component of the cost of capital and understand how to assemble this information into a cost of capital.</w:t>
            </w:r>
          </w:p>
          <w:p w14:paraId="0FD3F051" w14:textId="77777777"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(4) Use Financial Statements to obtain Free Cash Flows for the firm and equity holders. Identify relevant cash flows, discuss various methods for evaluating capital budgeting projects, how to apply them, and what to do if there are conflicting recommendations.</w:t>
            </w:r>
          </w:p>
          <w:p w14:paraId="50B708B3" w14:textId="77777777" w:rsidR="00E57A9B" w:rsidRPr="000F5EA7" w:rsidRDefault="00E57A9B" w:rsidP="00E57A9B">
            <w:pPr>
              <w:spacing w:after="0"/>
              <w:rPr>
                <w:rFonts w:ascii="Verdana" w:hAnsi="Verdana"/>
                <w:sz w:val="16"/>
                <w:szCs w:val="16"/>
              </w:rPr>
            </w:pPr>
            <w:r w:rsidRPr="000F5EA7">
              <w:rPr>
                <w:rFonts w:ascii="Verdana" w:hAnsi="Verdana"/>
                <w:sz w:val="16"/>
                <w:szCs w:val="16"/>
              </w:rPr>
              <w:t>(5) Understand how a firm influences its leverage, and how leverage affects a firm. Apply measures of cost of capital and financial leverage to form long-term financial policies for business. Describe the common factors influencing dividend policy.</w:t>
            </w:r>
          </w:p>
        </w:tc>
      </w:tr>
    </w:tbl>
    <w:p w14:paraId="5594709F" w14:textId="77777777" w:rsidR="00547C67" w:rsidRPr="00E932F7" w:rsidRDefault="00547C67" w:rsidP="00E932F7">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6B082B" w14:paraId="40FC1325" w14:textId="77777777" w:rsidTr="006B082B">
        <w:tc>
          <w:tcPr>
            <w:tcW w:w="5246" w:type="dxa"/>
            <w:tcBorders>
              <w:top w:val="single" w:sz="4" w:space="0" w:color="auto"/>
              <w:left w:val="nil"/>
              <w:bottom w:val="single" w:sz="4" w:space="0" w:color="auto"/>
              <w:right w:val="nil"/>
            </w:tcBorders>
            <w:shd w:val="clear" w:color="auto" w:fill="D9D9D9"/>
          </w:tcPr>
          <w:p w14:paraId="3AB15AFB" w14:textId="77777777" w:rsidR="008276E3" w:rsidRPr="00CD77ED" w:rsidRDefault="008276E3" w:rsidP="00E932F7">
            <w:pPr>
              <w:pStyle w:val="Title"/>
              <w:widowControl/>
              <w:spacing w:after="0" w:line="240" w:lineRule="auto"/>
              <w:jc w:val="left"/>
              <w:rPr>
                <w:rFonts w:ascii="Verdana" w:hAnsi="Verdana" w:cs="Vrinda"/>
                <w:color w:val="000000"/>
                <w:sz w:val="20"/>
                <w:szCs w:val="20"/>
                <w:u w:val="none"/>
              </w:rPr>
            </w:pPr>
            <w:r w:rsidRPr="006B082B">
              <w:rPr>
                <w:rFonts w:ascii="Verdana" w:hAnsi="Verdana" w:cs="Vrinda"/>
                <w:sz w:val="20"/>
                <w:szCs w:val="20"/>
                <w:u w:val="none"/>
              </w:rPr>
              <w:t xml:space="preserve">Learning </w:t>
            </w:r>
            <w:r w:rsidRPr="006B082B">
              <w:rPr>
                <w:rFonts w:ascii="Verdana" w:hAnsi="Verdana" w:cs="Vrinda"/>
                <w:color w:val="000000"/>
                <w:sz w:val="20"/>
                <w:szCs w:val="20"/>
                <w:u w:val="none"/>
              </w:rPr>
              <w:t xml:space="preserve">Resources And Textbook(s) </w:t>
            </w:r>
          </w:p>
        </w:tc>
      </w:tr>
    </w:tbl>
    <w:p w14:paraId="2177429E" w14:textId="77777777" w:rsidR="00547C67" w:rsidRPr="007460CE" w:rsidRDefault="00547C67" w:rsidP="00E932F7">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p>
    <w:tbl>
      <w:tblPr>
        <w:tblW w:w="10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
        <w:gridCol w:w="2420"/>
        <w:gridCol w:w="2744"/>
        <w:gridCol w:w="1800"/>
        <w:gridCol w:w="1350"/>
        <w:gridCol w:w="1875"/>
        <w:gridCol w:w="192"/>
      </w:tblGrid>
      <w:tr w:rsidR="00642447" w:rsidRPr="006B082B" w14:paraId="45A9D46F" w14:textId="77777777" w:rsidTr="004D4176">
        <w:trPr>
          <w:trHeight w:val="347"/>
        </w:trPr>
        <w:tc>
          <w:tcPr>
            <w:tcW w:w="2490" w:type="dxa"/>
            <w:gridSpan w:val="2"/>
            <w:shd w:val="clear" w:color="auto" w:fill="auto"/>
            <w:vAlign w:val="center"/>
          </w:tcPr>
          <w:p w14:paraId="77436882" w14:textId="77777777"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Author </w:t>
            </w:r>
          </w:p>
        </w:tc>
        <w:tc>
          <w:tcPr>
            <w:tcW w:w="2744" w:type="dxa"/>
            <w:shd w:val="clear" w:color="auto" w:fill="auto"/>
            <w:vAlign w:val="center"/>
          </w:tcPr>
          <w:p w14:paraId="700D3D82" w14:textId="77777777" w:rsidR="00246945" w:rsidRPr="006B082B" w:rsidRDefault="00246945" w:rsidP="00E932F7">
            <w:pPr>
              <w:spacing w:after="0" w:line="240" w:lineRule="auto"/>
              <w:jc w:val="center"/>
              <w:rPr>
                <w:rFonts w:ascii="Verdana" w:hAnsi="Verdana"/>
                <w:b/>
                <w:bCs/>
                <w:sz w:val="20"/>
                <w:szCs w:val="20"/>
                <w:rtl/>
              </w:rPr>
            </w:pPr>
          </w:p>
          <w:p w14:paraId="46FD8ED9" w14:textId="77777777"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Title </w:t>
            </w:r>
          </w:p>
        </w:tc>
        <w:tc>
          <w:tcPr>
            <w:tcW w:w="1800" w:type="dxa"/>
            <w:shd w:val="clear" w:color="auto" w:fill="auto"/>
            <w:vAlign w:val="center"/>
          </w:tcPr>
          <w:p w14:paraId="085E06F5" w14:textId="77777777" w:rsidR="00547C67" w:rsidRPr="006B082B" w:rsidRDefault="00547C67" w:rsidP="00E932F7">
            <w:pPr>
              <w:spacing w:after="0" w:line="240" w:lineRule="auto"/>
              <w:ind w:left="-108" w:right="-110"/>
              <w:jc w:val="center"/>
              <w:rPr>
                <w:rFonts w:ascii="Verdana" w:hAnsi="Verdana"/>
                <w:b/>
                <w:bCs/>
                <w:sz w:val="16"/>
                <w:szCs w:val="16"/>
              </w:rPr>
            </w:pPr>
            <w:r w:rsidRPr="006B082B">
              <w:rPr>
                <w:rFonts w:ascii="Verdana" w:hAnsi="Verdana"/>
                <w:b/>
                <w:bCs/>
                <w:sz w:val="16"/>
                <w:szCs w:val="16"/>
              </w:rPr>
              <w:t>Edition &amp; Year</w:t>
            </w:r>
          </w:p>
        </w:tc>
        <w:tc>
          <w:tcPr>
            <w:tcW w:w="1350" w:type="dxa"/>
            <w:shd w:val="clear" w:color="auto" w:fill="auto"/>
            <w:vAlign w:val="center"/>
          </w:tcPr>
          <w:p w14:paraId="1A3D9C9A" w14:textId="77777777" w:rsidR="00547C67" w:rsidRPr="006B082B" w:rsidRDefault="00547C67" w:rsidP="00E932F7">
            <w:pPr>
              <w:spacing w:after="0" w:line="240" w:lineRule="auto"/>
              <w:jc w:val="center"/>
              <w:rPr>
                <w:rFonts w:ascii="Verdana" w:hAnsi="Verdana"/>
                <w:b/>
                <w:bCs/>
                <w:sz w:val="18"/>
                <w:szCs w:val="18"/>
              </w:rPr>
            </w:pPr>
            <w:r w:rsidRPr="006B082B">
              <w:rPr>
                <w:rFonts w:ascii="Verdana" w:hAnsi="Verdana"/>
                <w:b/>
                <w:bCs/>
                <w:sz w:val="16"/>
                <w:szCs w:val="16"/>
              </w:rPr>
              <w:t>Publisher</w:t>
            </w:r>
          </w:p>
        </w:tc>
        <w:tc>
          <w:tcPr>
            <w:tcW w:w="2067" w:type="dxa"/>
            <w:gridSpan w:val="2"/>
            <w:shd w:val="clear" w:color="auto" w:fill="auto"/>
            <w:vAlign w:val="center"/>
          </w:tcPr>
          <w:p w14:paraId="48AD913E" w14:textId="77777777" w:rsidR="00547C67" w:rsidRPr="006B082B" w:rsidRDefault="00547C67" w:rsidP="004D4176">
            <w:pPr>
              <w:spacing w:after="0" w:line="240" w:lineRule="auto"/>
              <w:jc w:val="center"/>
              <w:rPr>
                <w:rFonts w:ascii="Verdana" w:hAnsi="Verdana"/>
                <w:b/>
                <w:bCs/>
                <w:sz w:val="18"/>
                <w:szCs w:val="18"/>
              </w:rPr>
            </w:pPr>
            <w:r w:rsidRPr="006B082B">
              <w:rPr>
                <w:rFonts w:ascii="Verdana" w:hAnsi="Verdana"/>
                <w:b/>
                <w:bCs/>
                <w:sz w:val="18"/>
                <w:szCs w:val="18"/>
              </w:rPr>
              <w:t>ISBN</w:t>
            </w:r>
          </w:p>
        </w:tc>
      </w:tr>
      <w:tr w:rsidR="00642447" w:rsidRPr="006B082B" w14:paraId="67FA1F83" w14:textId="77777777" w:rsidTr="004D4176">
        <w:trPr>
          <w:trHeight w:val="352"/>
        </w:trPr>
        <w:tc>
          <w:tcPr>
            <w:tcW w:w="2490" w:type="dxa"/>
            <w:gridSpan w:val="2"/>
          </w:tcPr>
          <w:p w14:paraId="1F478928" w14:textId="77777777" w:rsidR="004D4176" w:rsidRPr="004D4176" w:rsidRDefault="004D4176" w:rsidP="00E932F7">
            <w:pPr>
              <w:pStyle w:val="ListParagraph"/>
              <w:spacing w:after="0" w:line="240" w:lineRule="auto"/>
              <w:ind w:left="0"/>
              <w:rPr>
                <w:b/>
                <w:u w:val="single"/>
              </w:rPr>
            </w:pPr>
            <w:r w:rsidRPr="004D4176">
              <w:rPr>
                <w:b/>
                <w:u w:val="single"/>
              </w:rPr>
              <w:t>Required Text Book</w:t>
            </w:r>
          </w:p>
          <w:p w14:paraId="16658D6A" w14:textId="77777777" w:rsidR="00547C67" w:rsidRPr="00F712C4" w:rsidRDefault="004D4176" w:rsidP="00E932F7">
            <w:pPr>
              <w:pStyle w:val="ListParagraph"/>
              <w:spacing w:after="0" w:line="240" w:lineRule="auto"/>
              <w:ind w:left="0"/>
              <w:rPr>
                <w:rFonts w:ascii="Verdana" w:hAnsi="Verdana"/>
                <w:sz w:val="18"/>
                <w:szCs w:val="18"/>
              </w:rPr>
            </w:pPr>
            <w:r w:rsidRPr="00206529">
              <w:t xml:space="preserve">Stephen A. Ross, Randolph </w:t>
            </w:r>
            <w:proofErr w:type="spellStart"/>
            <w:r w:rsidRPr="00206529">
              <w:t>Westerfield</w:t>
            </w:r>
            <w:proofErr w:type="spellEnd"/>
            <w:r w:rsidRPr="00206529">
              <w:t xml:space="preserve"> Bradford D. Jordan</w:t>
            </w:r>
          </w:p>
        </w:tc>
        <w:tc>
          <w:tcPr>
            <w:tcW w:w="2744" w:type="dxa"/>
          </w:tcPr>
          <w:p w14:paraId="50EED2BB" w14:textId="77777777" w:rsidR="00547C67" w:rsidRPr="00F712C4" w:rsidRDefault="004D4176" w:rsidP="00E932F7">
            <w:pPr>
              <w:spacing w:line="240" w:lineRule="auto"/>
              <w:rPr>
                <w:rFonts w:ascii="Verdana" w:hAnsi="Verdana"/>
                <w:sz w:val="18"/>
                <w:szCs w:val="18"/>
              </w:rPr>
            </w:pPr>
            <w:r w:rsidRPr="00206529">
              <w:t>Fundamentals of Corporate Finance (Alternate Edition)</w:t>
            </w:r>
          </w:p>
        </w:tc>
        <w:tc>
          <w:tcPr>
            <w:tcW w:w="1800" w:type="dxa"/>
          </w:tcPr>
          <w:p w14:paraId="751724C0" w14:textId="77777777" w:rsidR="004D4176" w:rsidRPr="00206529" w:rsidRDefault="004D4176" w:rsidP="004D4176">
            <w:pPr>
              <w:spacing w:after="0" w:line="240" w:lineRule="auto"/>
              <w:jc w:val="center"/>
            </w:pPr>
            <w:r w:rsidRPr="00206529">
              <w:t>9th Ed. – 2012-13</w:t>
            </w:r>
          </w:p>
          <w:p w14:paraId="13E9CB45" w14:textId="77777777" w:rsidR="00547C67" w:rsidRPr="00F712C4" w:rsidRDefault="00547C67" w:rsidP="00E932F7">
            <w:pPr>
              <w:spacing w:after="0" w:line="240" w:lineRule="auto"/>
              <w:rPr>
                <w:rFonts w:ascii="Verdana" w:hAnsi="Verdana"/>
                <w:sz w:val="18"/>
                <w:szCs w:val="18"/>
              </w:rPr>
            </w:pPr>
          </w:p>
        </w:tc>
        <w:tc>
          <w:tcPr>
            <w:tcW w:w="1350" w:type="dxa"/>
          </w:tcPr>
          <w:p w14:paraId="0B27D0BD" w14:textId="77777777" w:rsidR="00547C67" w:rsidRPr="00F712C4" w:rsidRDefault="00F712C4" w:rsidP="00E932F7">
            <w:pPr>
              <w:spacing w:after="0" w:line="240" w:lineRule="auto"/>
              <w:rPr>
                <w:rFonts w:ascii="Verdana" w:hAnsi="Verdana"/>
                <w:sz w:val="18"/>
                <w:szCs w:val="18"/>
              </w:rPr>
            </w:pPr>
            <w:r w:rsidRPr="00F712C4">
              <w:rPr>
                <w:rFonts w:ascii="Verdana" w:hAnsi="Verdana"/>
                <w:sz w:val="18"/>
                <w:szCs w:val="18"/>
              </w:rPr>
              <w:t xml:space="preserve">McGraw Hill </w:t>
            </w:r>
          </w:p>
        </w:tc>
        <w:tc>
          <w:tcPr>
            <w:tcW w:w="2067" w:type="dxa"/>
            <w:gridSpan w:val="2"/>
          </w:tcPr>
          <w:p w14:paraId="117F9EC1" w14:textId="77777777" w:rsidR="00547C67" w:rsidRPr="006B082B" w:rsidRDefault="004D4176" w:rsidP="00E932F7">
            <w:pPr>
              <w:spacing w:after="0" w:line="240" w:lineRule="auto"/>
              <w:rPr>
                <w:rFonts w:ascii="Verdana" w:hAnsi="Verdana"/>
                <w:sz w:val="18"/>
                <w:szCs w:val="18"/>
              </w:rPr>
            </w:pPr>
            <w:r w:rsidRPr="00206529">
              <w:t>978-0-07-018334-6</w:t>
            </w:r>
          </w:p>
        </w:tc>
      </w:tr>
      <w:tr w:rsidR="004D4176" w:rsidRPr="006B082B" w14:paraId="113C584B" w14:textId="77777777" w:rsidTr="00197DAF">
        <w:trPr>
          <w:trHeight w:val="352"/>
        </w:trPr>
        <w:tc>
          <w:tcPr>
            <w:tcW w:w="2490" w:type="dxa"/>
            <w:gridSpan w:val="2"/>
            <w:tcBorders>
              <w:bottom w:val="single" w:sz="4" w:space="0" w:color="auto"/>
            </w:tcBorders>
          </w:tcPr>
          <w:p w14:paraId="0197D6C9" w14:textId="77777777" w:rsidR="004D4176" w:rsidRPr="004D4176" w:rsidRDefault="004D4176" w:rsidP="004D4176">
            <w:pPr>
              <w:spacing w:after="0" w:line="240" w:lineRule="auto"/>
              <w:rPr>
                <w:b/>
                <w:u w:val="single"/>
              </w:rPr>
            </w:pPr>
            <w:r w:rsidRPr="004D4176">
              <w:rPr>
                <w:b/>
                <w:u w:val="single"/>
              </w:rPr>
              <w:t>Reference Text Book</w:t>
            </w:r>
          </w:p>
          <w:p w14:paraId="3917899A" w14:textId="77777777" w:rsidR="004D4176" w:rsidRPr="00206529" w:rsidRDefault="004D4176" w:rsidP="004D4176">
            <w:pPr>
              <w:spacing w:after="0" w:line="240" w:lineRule="auto"/>
            </w:pPr>
            <w:r w:rsidRPr="00206529">
              <w:t xml:space="preserve">Arthur J. </w:t>
            </w:r>
            <w:proofErr w:type="spellStart"/>
            <w:r w:rsidRPr="00206529">
              <w:t>Keown</w:t>
            </w:r>
            <w:proofErr w:type="spellEnd"/>
          </w:p>
          <w:p w14:paraId="5706B5B5" w14:textId="77777777" w:rsidR="004D4176" w:rsidRPr="00206529" w:rsidRDefault="004D4176" w:rsidP="004D4176">
            <w:pPr>
              <w:spacing w:after="0" w:line="240" w:lineRule="auto"/>
            </w:pPr>
            <w:r w:rsidRPr="00206529">
              <w:t>John H. Martin</w:t>
            </w:r>
          </w:p>
          <w:p w14:paraId="3775C11D" w14:textId="77777777" w:rsidR="004D4176" w:rsidRPr="00206529" w:rsidRDefault="004D4176" w:rsidP="004D4176">
            <w:pPr>
              <w:spacing w:after="0" w:line="240" w:lineRule="auto"/>
            </w:pPr>
            <w:r w:rsidRPr="00206529">
              <w:t>John W. Petty</w:t>
            </w:r>
          </w:p>
          <w:p w14:paraId="3B7E3FA4" w14:textId="77777777" w:rsidR="004D4176" w:rsidRPr="00206529" w:rsidRDefault="004D4176" w:rsidP="004D4176">
            <w:pPr>
              <w:pStyle w:val="ListParagraph"/>
              <w:spacing w:after="0" w:line="240" w:lineRule="auto"/>
              <w:ind w:left="0"/>
            </w:pPr>
            <w:r w:rsidRPr="00206529">
              <w:t>David F. Scott</w:t>
            </w:r>
          </w:p>
        </w:tc>
        <w:tc>
          <w:tcPr>
            <w:tcW w:w="2744" w:type="dxa"/>
            <w:tcBorders>
              <w:bottom w:val="single" w:sz="4" w:space="0" w:color="auto"/>
            </w:tcBorders>
          </w:tcPr>
          <w:p w14:paraId="755C42B4" w14:textId="77777777" w:rsidR="004D4176" w:rsidRPr="00206529" w:rsidRDefault="004D4176" w:rsidP="00E932F7">
            <w:pPr>
              <w:spacing w:line="240" w:lineRule="auto"/>
            </w:pPr>
            <w:r w:rsidRPr="00206529">
              <w:t>Financial Management: Principles and Applications</w:t>
            </w:r>
          </w:p>
        </w:tc>
        <w:tc>
          <w:tcPr>
            <w:tcW w:w="1800" w:type="dxa"/>
            <w:tcBorders>
              <w:bottom w:val="single" w:sz="4" w:space="0" w:color="auto"/>
            </w:tcBorders>
          </w:tcPr>
          <w:p w14:paraId="6F77E235" w14:textId="77777777" w:rsidR="004D4176" w:rsidRPr="00206529" w:rsidRDefault="004D4176" w:rsidP="004D4176">
            <w:pPr>
              <w:spacing w:after="0" w:line="240" w:lineRule="auto"/>
              <w:jc w:val="center"/>
            </w:pPr>
            <w:r w:rsidRPr="00206529">
              <w:t>10th Ed. – 2005</w:t>
            </w:r>
          </w:p>
        </w:tc>
        <w:tc>
          <w:tcPr>
            <w:tcW w:w="1350" w:type="dxa"/>
            <w:tcBorders>
              <w:bottom w:val="single" w:sz="4" w:space="0" w:color="auto"/>
            </w:tcBorders>
          </w:tcPr>
          <w:p w14:paraId="652DFDF8" w14:textId="77777777" w:rsidR="004D4176" w:rsidRPr="00F712C4" w:rsidRDefault="004D4176" w:rsidP="00E932F7">
            <w:pPr>
              <w:spacing w:after="0" w:line="240" w:lineRule="auto"/>
              <w:rPr>
                <w:rFonts w:ascii="Verdana" w:hAnsi="Verdana"/>
                <w:sz w:val="18"/>
                <w:szCs w:val="18"/>
              </w:rPr>
            </w:pPr>
            <w:r w:rsidRPr="00206529">
              <w:t>Pearson Prentice Hall</w:t>
            </w:r>
          </w:p>
        </w:tc>
        <w:tc>
          <w:tcPr>
            <w:tcW w:w="2067" w:type="dxa"/>
            <w:gridSpan w:val="2"/>
            <w:tcBorders>
              <w:bottom w:val="single" w:sz="4" w:space="0" w:color="auto"/>
            </w:tcBorders>
          </w:tcPr>
          <w:p w14:paraId="3074F088" w14:textId="77777777" w:rsidR="004D4176" w:rsidRPr="00206529" w:rsidRDefault="004D4176" w:rsidP="00E932F7">
            <w:pPr>
              <w:spacing w:after="0" w:line="240" w:lineRule="auto"/>
            </w:pPr>
            <w:r w:rsidRPr="00206529">
              <w:t>0131450654</w:t>
            </w:r>
          </w:p>
        </w:tc>
      </w:tr>
      <w:tr w:rsidR="00197DAF" w:rsidRPr="006B082B" w14:paraId="3CDC9E00" w14:textId="77777777" w:rsidTr="00197DAF">
        <w:trPr>
          <w:trHeight w:val="352"/>
        </w:trPr>
        <w:tc>
          <w:tcPr>
            <w:tcW w:w="10451" w:type="dxa"/>
            <w:gridSpan w:val="7"/>
            <w:tcBorders>
              <w:left w:val="nil"/>
              <w:bottom w:val="nil"/>
              <w:right w:val="nil"/>
            </w:tcBorders>
          </w:tcPr>
          <w:p w14:paraId="5313E247" w14:textId="77777777" w:rsidR="00197DAF" w:rsidRPr="00206529" w:rsidRDefault="00197DAF" w:rsidP="00E932F7">
            <w:pPr>
              <w:spacing w:after="0" w:line="240" w:lineRule="auto"/>
            </w:pPr>
          </w:p>
        </w:tc>
      </w:tr>
      <w:tr w:rsidR="00635FD0" w:rsidRPr="00B14574" w14:paraId="64395DC6" w14:textId="77777777" w:rsidTr="004D4176">
        <w:tblPrEx>
          <w:tblLook w:val="00A0" w:firstRow="1" w:lastRow="0" w:firstColumn="1" w:lastColumn="0" w:noHBand="0" w:noVBand="0"/>
        </w:tblPrEx>
        <w:trPr>
          <w:gridBefore w:val="1"/>
          <w:gridAfter w:val="1"/>
          <w:wBefore w:w="70" w:type="dxa"/>
          <w:wAfter w:w="192" w:type="dxa"/>
          <w:trHeight w:val="312"/>
        </w:trPr>
        <w:tc>
          <w:tcPr>
            <w:tcW w:w="10189" w:type="dxa"/>
            <w:gridSpan w:val="5"/>
            <w:tcBorders>
              <w:left w:val="nil"/>
              <w:right w:val="nil"/>
            </w:tcBorders>
            <w:shd w:val="clear" w:color="auto" w:fill="D9D9D9"/>
          </w:tcPr>
          <w:p w14:paraId="76A64887" w14:textId="77777777"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 xml:space="preserve">Teaching Strategy </w:t>
            </w:r>
          </w:p>
        </w:tc>
      </w:tr>
    </w:tbl>
    <w:p w14:paraId="07CF6327" w14:textId="77777777" w:rsidR="0077434E" w:rsidRPr="004D4176" w:rsidRDefault="0077434E" w:rsidP="00E932F7">
      <w:pPr>
        <w:spacing w:after="0" w:line="240" w:lineRule="auto"/>
        <w:rPr>
          <w:rFonts w:ascii="Verdana" w:hAnsi="Verdana"/>
          <w:sz w:val="12"/>
          <w:szCs w:val="18"/>
        </w:rPr>
      </w:pPr>
    </w:p>
    <w:p w14:paraId="3A1B8A10" w14:textId="77777777" w:rsidR="00635FD0" w:rsidRDefault="004D4176" w:rsidP="00E932F7">
      <w:pPr>
        <w:spacing w:after="0" w:line="240" w:lineRule="auto"/>
      </w:pPr>
      <w:r w:rsidRPr="00206529">
        <w:t>The class will be conducted through various activities including presentation of concepts and situations, discussion and exchanges of ideas, student initiative and active involvement, cases reflecting real world context, and project. Students are expected to actively involve and to take initiative for their own learning experience.</w:t>
      </w:r>
    </w:p>
    <w:p w14:paraId="4D8C58CF" w14:textId="77777777" w:rsidR="004D4176" w:rsidRPr="004D4176" w:rsidRDefault="004D4176" w:rsidP="00E932F7">
      <w:pPr>
        <w:spacing w:after="0" w:line="240" w:lineRule="auto"/>
        <w:rPr>
          <w:sz w:val="12"/>
        </w:rPr>
      </w:pPr>
    </w:p>
    <w:tbl>
      <w:tblPr>
        <w:tblW w:w="101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4"/>
        <w:gridCol w:w="6100"/>
      </w:tblGrid>
      <w:tr w:rsidR="00635FD0" w:rsidRPr="00B14574" w14:paraId="2749B4E6" w14:textId="77777777" w:rsidTr="001D425D">
        <w:tc>
          <w:tcPr>
            <w:tcW w:w="10184" w:type="dxa"/>
            <w:gridSpan w:val="2"/>
            <w:shd w:val="clear" w:color="auto" w:fill="D9D9D9"/>
          </w:tcPr>
          <w:p w14:paraId="1C37E49A" w14:textId="77777777"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Assessment Strategy and Grading Scheme</w:t>
            </w:r>
          </w:p>
        </w:tc>
      </w:tr>
      <w:tr w:rsidR="00635FD0" w:rsidRPr="00B14574" w14:paraId="01DD042F" w14:textId="77777777"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84" w:type="dxa"/>
            <w:tcBorders>
              <w:top w:val="single" w:sz="4" w:space="0" w:color="auto"/>
              <w:left w:val="single" w:sz="4" w:space="0" w:color="auto"/>
              <w:bottom w:val="single" w:sz="4" w:space="0" w:color="auto"/>
              <w:right w:val="single" w:sz="4" w:space="0" w:color="auto"/>
            </w:tcBorders>
            <w:vAlign w:val="center"/>
          </w:tcPr>
          <w:p w14:paraId="51ADA3EF" w14:textId="77777777" w:rsidR="00635FD0" w:rsidRPr="00B14574" w:rsidRDefault="00635FD0" w:rsidP="00E932F7">
            <w:pPr>
              <w:spacing w:after="0" w:line="240" w:lineRule="auto"/>
              <w:rPr>
                <w:rFonts w:ascii="Verdana" w:hAnsi="Verdana" w:cs="Verdana"/>
                <w:b/>
                <w:bCs/>
                <w:sz w:val="18"/>
                <w:szCs w:val="18"/>
              </w:rPr>
            </w:pPr>
            <w:r w:rsidRPr="00B14574">
              <w:rPr>
                <w:rFonts w:ascii="Verdana" w:hAnsi="Verdana" w:cs="Verdana"/>
                <w:b/>
                <w:bCs/>
                <w:sz w:val="18"/>
                <w:szCs w:val="18"/>
              </w:rPr>
              <w:t>Grading tool</w:t>
            </w:r>
          </w:p>
          <w:p w14:paraId="0D76F380" w14:textId="77777777" w:rsidR="00635FD0" w:rsidRPr="00B14574" w:rsidRDefault="00635FD0" w:rsidP="00E932F7">
            <w:pPr>
              <w:spacing w:after="0" w:line="240" w:lineRule="auto"/>
              <w:jc w:val="right"/>
              <w:rPr>
                <w:rFonts w:ascii="Verdana" w:hAnsi="Verdana" w:cs="Verdana"/>
                <w:b/>
                <w:bCs/>
                <w:sz w:val="18"/>
                <w:szCs w:val="18"/>
              </w:rPr>
            </w:pPr>
          </w:p>
        </w:tc>
        <w:tc>
          <w:tcPr>
            <w:tcW w:w="6100" w:type="dxa"/>
            <w:tcBorders>
              <w:top w:val="single" w:sz="4" w:space="0" w:color="auto"/>
              <w:left w:val="single" w:sz="4" w:space="0" w:color="auto"/>
              <w:bottom w:val="single" w:sz="4" w:space="0" w:color="auto"/>
              <w:right w:val="single" w:sz="4" w:space="0" w:color="auto"/>
            </w:tcBorders>
            <w:vAlign w:val="center"/>
          </w:tcPr>
          <w:p w14:paraId="276829A7" w14:textId="77777777" w:rsidR="00635FD0" w:rsidRPr="00B14574" w:rsidRDefault="00635FD0" w:rsidP="00E932F7">
            <w:pPr>
              <w:spacing w:after="0" w:line="240" w:lineRule="auto"/>
              <w:jc w:val="center"/>
              <w:rPr>
                <w:rFonts w:ascii="Times New Roman" w:hAnsi="Times New Roman" w:cs="Times New Roman"/>
                <w:b/>
                <w:bCs/>
                <w:rtl/>
                <w:lang w:bidi="ar-QA"/>
              </w:rPr>
            </w:pPr>
          </w:p>
          <w:p w14:paraId="6212AF54" w14:textId="77777777" w:rsidR="00635FD0" w:rsidRPr="00B14574" w:rsidRDefault="00635FD0" w:rsidP="00E932F7">
            <w:pPr>
              <w:spacing w:after="0" w:line="240" w:lineRule="auto"/>
              <w:jc w:val="center"/>
              <w:rPr>
                <w:rFonts w:ascii="Verdana" w:hAnsi="Verdana" w:cs="Verdana"/>
                <w:b/>
                <w:bCs/>
                <w:sz w:val="18"/>
                <w:szCs w:val="18"/>
              </w:rPr>
            </w:pPr>
            <w:r w:rsidRPr="00B14574">
              <w:rPr>
                <w:rFonts w:ascii="Verdana" w:hAnsi="Verdana" w:cs="Verdana"/>
                <w:b/>
                <w:bCs/>
                <w:sz w:val="18"/>
                <w:szCs w:val="18"/>
              </w:rPr>
              <w:t>Points</w:t>
            </w:r>
          </w:p>
        </w:tc>
      </w:tr>
      <w:tr w:rsidR="00635FD0" w:rsidRPr="00B14574" w14:paraId="3665ED9D" w14:textId="77777777"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84" w:type="dxa"/>
            <w:tcBorders>
              <w:top w:val="single" w:sz="4" w:space="0" w:color="auto"/>
              <w:left w:val="single" w:sz="4" w:space="0" w:color="auto"/>
              <w:bottom w:val="single" w:sz="4" w:space="0" w:color="auto"/>
              <w:right w:val="single" w:sz="4" w:space="0" w:color="auto"/>
            </w:tcBorders>
          </w:tcPr>
          <w:p w14:paraId="16F62A50" w14:textId="77777777" w:rsidR="00635FD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Attendance</w:t>
            </w:r>
            <w:r w:rsidR="004D4176">
              <w:rPr>
                <w:rFonts w:ascii="Verdana" w:hAnsi="Verdana" w:cs="Verdana"/>
                <w:sz w:val="18"/>
                <w:szCs w:val="18"/>
              </w:rPr>
              <w:t>&amp; Class Participation</w:t>
            </w:r>
          </w:p>
        </w:tc>
        <w:tc>
          <w:tcPr>
            <w:tcW w:w="6100" w:type="dxa"/>
            <w:tcBorders>
              <w:top w:val="single" w:sz="4" w:space="0" w:color="auto"/>
              <w:left w:val="single" w:sz="4" w:space="0" w:color="auto"/>
              <w:bottom w:val="single" w:sz="4" w:space="0" w:color="auto"/>
              <w:right w:val="single" w:sz="4" w:space="0" w:color="auto"/>
            </w:tcBorders>
          </w:tcPr>
          <w:p w14:paraId="7CC1EB1F" w14:textId="77777777"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5%</w:t>
            </w:r>
          </w:p>
        </w:tc>
      </w:tr>
      <w:tr w:rsidR="00635FD0" w:rsidRPr="00B14574" w14:paraId="4A5E9003" w14:textId="77777777"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84" w:type="dxa"/>
            <w:tcBorders>
              <w:top w:val="single" w:sz="4" w:space="0" w:color="auto"/>
              <w:left w:val="single" w:sz="4" w:space="0" w:color="auto"/>
              <w:bottom w:val="single" w:sz="4" w:space="0" w:color="auto"/>
              <w:right w:val="single" w:sz="4" w:space="0" w:color="auto"/>
            </w:tcBorders>
          </w:tcPr>
          <w:p w14:paraId="7F59627E" w14:textId="77777777" w:rsidR="00635FD0" w:rsidRPr="00B14574" w:rsidRDefault="00BB61C2" w:rsidP="00EB2BBB">
            <w:pPr>
              <w:spacing w:after="0" w:line="240" w:lineRule="auto"/>
              <w:ind w:left="284"/>
              <w:rPr>
                <w:rFonts w:ascii="Verdana" w:hAnsi="Verdana" w:cs="Verdana"/>
                <w:sz w:val="18"/>
                <w:szCs w:val="18"/>
              </w:rPr>
            </w:pPr>
            <w:r>
              <w:rPr>
                <w:rFonts w:ascii="Verdana" w:hAnsi="Verdana" w:cs="Verdana"/>
                <w:sz w:val="18"/>
                <w:szCs w:val="18"/>
              </w:rPr>
              <w:t>Quiz</w:t>
            </w:r>
          </w:p>
        </w:tc>
        <w:tc>
          <w:tcPr>
            <w:tcW w:w="6100" w:type="dxa"/>
            <w:tcBorders>
              <w:top w:val="single" w:sz="4" w:space="0" w:color="auto"/>
              <w:left w:val="single" w:sz="4" w:space="0" w:color="auto"/>
              <w:bottom w:val="single" w:sz="4" w:space="0" w:color="auto"/>
              <w:right w:val="single" w:sz="4" w:space="0" w:color="auto"/>
            </w:tcBorders>
          </w:tcPr>
          <w:p w14:paraId="23248066" w14:textId="77777777"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1</w:t>
            </w:r>
            <w:r w:rsidR="00C53599">
              <w:rPr>
                <w:rFonts w:ascii="Verdana" w:hAnsi="Verdana" w:cs="Verdana"/>
                <w:sz w:val="18"/>
                <w:szCs w:val="18"/>
              </w:rPr>
              <w:t>5</w:t>
            </w:r>
            <w:r>
              <w:rPr>
                <w:rFonts w:ascii="Verdana" w:hAnsi="Verdana" w:cs="Verdana"/>
                <w:sz w:val="18"/>
                <w:szCs w:val="18"/>
              </w:rPr>
              <w:t>%</w:t>
            </w:r>
          </w:p>
        </w:tc>
      </w:tr>
      <w:tr w:rsidR="00530060" w:rsidRPr="00B14574" w14:paraId="78E95EF9" w14:textId="77777777"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84" w:type="dxa"/>
            <w:tcBorders>
              <w:top w:val="single" w:sz="4" w:space="0" w:color="auto"/>
              <w:left w:val="single" w:sz="4" w:space="0" w:color="auto"/>
              <w:bottom w:val="single" w:sz="4" w:space="0" w:color="auto"/>
              <w:right w:val="single" w:sz="4" w:space="0" w:color="auto"/>
            </w:tcBorders>
          </w:tcPr>
          <w:p w14:paraId="28C79D75" w14:textId="77777777"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Group Report</w:t>
            </w:r>
          </w:p>
        </w:tc>
        <w:tc>
          <w:tcPr>
            <w:tcW w:w="6100" w:type="dxa"/>
            <w:tcBorders>
              <w:top w:val="single" w:sz="4" w:space="0" w:color="auto"/>
              <w:left w:val="single" w:sz="4" w:space="0" w:color="auto"/>
              <w:bottom w:val="single" w:sz="4" w:space="0" w:color="auto"/>
              <w:right w:val="single" w:sz="4" w:space="0" w:color="auto"/>
            </w:tcBorders>
          </w:tcPr>
          <w:p w14:paraId="0CF0473B" w14:textId="77777777" w:rsidR="00530060" w:rsidRPr="00B14574" w:rsidRDefault="00BF69A6" w:rsidP="00E932F7">
            <w:pPr>
              <w:spacing w:after="0" w:line="240" w:lineRule="auto"/>
              <w:jc w:val="center"/>
              <w:rPr>
                <w:rFonts w:ascii="Verdana" w:hAnsi="Verdana" w:cs="Verdana"/>
                <w:sz w:val="18"/>
                <w:szCs w:val="18"/>
              </w:rPr>
            </w:pPr>
            <w:r>
              <w:rPr>
                <w:rFonts w:ascii="Verdana" w:hAnsi="Verdana" w:cs="Verdana"/>
                <w:sz w:val="18"/>
                <w:szCs w:val="18"/>
              </w:rPr>
              <w:t>15</w:t>
            </w:r>
            <w:r w:rsidR="00530060">
              <w:rPr>
                <w:rFonts w:ascii="Verdana" w:hAnsi="Verdana" w:cs="Verdana"/>
                <w:sz w:val="18"/>
                <w:szCs w:val="18"/>
              </w:rPr>
              <w:t>%</w:t>
            </w:r>
          </w:p>
        </w:tc>
      </w:tr>
      <w:tr w:rsidR="00093E28" w:rsidRPr="00B14574" w14:paraId="47F9B98E" w14:textId="77777777" w:rsidTr="00DD1012">
        <w:trPr>
          <w:trHeight w:val="297"/>
        </w:trPr>
        <w:tc>
          <w:tcPr>
            <w:tcW w:w="4084" w:type="dxa"/>
          </w:tcPr>
          <w:p w14:paraId="2BED6DAB" w14:textId="77777777" w:rsidR="00093E28" w:rsidRPr="00B14574" w:rsidRDefault="00093E28" w:rsidP="00BF69A6">
            <w:pPr>
              <w:spacing w:after="0" w:line="240" w:lineRule="auto"/>
              <w:ind w:left="284"/>
              <w:rPr>
                <w:rFonts w:ascii="Verdana" w:hAnsi="Verdana" w:cs="Verdana"/>
                <w:sz w:val="18"/>
                <w:szCs w:val="18"/>
              </w:rPr>
            </w:pPr>
            <w:r>
              <w:rPr>
                <w:rFonts w:ascii="Verdana" w:hAnsi="Verdana" w:cs="Verdana"/>
                <w:sz w:val="18"/>
                <w:szCs w:val="18"/>
              </w:rPr>
              <w:t xml:space="preserve">Midterm </w:t>
            </w:r>
            <w:r w:rsidR="00BF69A6">
              <w:rPr>
                <w:rFonts w:ascii="Verdana" w:hAnsi="Verdana" w:cs="Verdana"/>
                <w:sz w:val="18"/>
                <w:szCs w:val="18"/>
              </w:rPr>
              <w:t>1</w:t>
            </w:r>
          </w:p>
        </w:tc>
        <w:tc>
          <w:tcPr>
            <w:tcW w:w="6100" w:type="dxa"/>
          </w:tcPr>
          <w:p w14:paraId="4E9512A9" w14:textId="77777777" w:rsidR="00093E28" w:rsidRPr="00B14574" w:rsidRDefault="00BF69A6" w:rsidP="00BF69A6">
            <w:pPr>
              <w:spacing w:after="0" w:line="240" w:lineRule="auto"/>
              <w:jc w:val="center"/>
              <w:rPr>
                <w:rFonts w:ascii="Verdana" w:hAnsi="Verdana" w:cs="Verdana"/>
                <w:sz w:val="18"/>
                <w:szCs w:val="18"/>
              </w:rPr>
            </w:pPr>
            <w:r>
              <w:rPr>
                <w:rFonts w:ascii="Verdana" w:hAnsi="Verdana" w:cs="Verdana"/>
                <w:sz w:val="18"/>
                <w:szCs w:val="18"/>
              </w:rPr>
              <w:t>20</w:t>
            </w:r>
            <w:r w:rsidR="00093E28">
              <w:rPr>
                <w:rFonts w:ascii="Verdana" w:hAnsi="Verdana" w:cs="Verdana"/>
                <w:sz w:val="18"/>
                <w:szCs w:val="18"/>
              </w:rPr>
              <w:t>%</w:t>
            </w:r>
          </w:p>
        </w:tc>
      </w:tr>
      <w:tr w:rsidR="00BF69A6" w:rsidRPr="00B14574" w14:paraId="11E66610" w14:textId="77777777" w:rsidTr="00DD1012">
        <w:trPr>
          <w:trHeight w:val="297"/>
        </w:trPr>
        <w:tc>
          <w:tcPr>
            <w:tcW w:w="4084" w:type="dxa"/>
          </w:tcPr>
          <w:p w14:paraId="52506675" w14:textId="77777777" w:rsidR="00BF69A6" w:rsidRDefault="00BF69A6" w:rsidP="00EB2BBB">
            <w:pPr>
              <w:spacing w:after="0" w:line="240" w:lineRule="auto"/>
              <w:ind w:left="284"/>
              <w:rPr>
                <w:rFonts w:ascii="Verdana" w:hAnsi="Verdana" w:cs="Verdana"/>
                <w:sz w:val="18"/>
                <w:szCs w:val="18"/>
              </w:rPr>
            </w:pPr>
            <w:r>
              <w:rPr>
                <w:rFonts w:ascii="Verdana" w:hAnsi="Verdana" w:cs="Verdana"/>
                <w:sz w:val="18"/>
                <w:szCs w:val="18"/>
              </w:rPr>
              <w:t>Midterm 2</w:t>
            </w:r>
          </w:p>
        </w:tc>
        <w:tc>
          <w:tcPr>
            <w:tcW w:w="6100" w:type="dxa"/>
          </w:tcPr>
          <w:p w14:paraId="71778997" w14:textId="77777777" w:rsidR="00BF69A6" w:rsidRDefault="00BF69A6" w:rsidP="00055DAB">
            <w:pPr>
              <w:spacing w:after="0" w:line="240" w:lineRule="auto"/>
              <w:jc w:val="center"/>
              <w:rPr>
                <w:rFonts w:ascii="Verdana" w:hAnsi="Verdana" w:cs="Verdana"/>
                <w:sz w:val="18"/>
                <w:szCs w:val="18"/>
              </w:rPr>
            </w:pPr>
            <w:r>
              <w:rPr>
                <w:rFonts w:ascii="Verdana" w:hAnsi="Verdana" w:cs="Verdana"/>
                <w:sz w:val="18"/>
                <w:szCs w:val="18"/>
              </w:rPr>
              <w:t>20%</w:t>
            </w:r>
          </w:p>
        </w:tc>
      </w:tr>
      <w:tr w:rsidR="00093E28" w:rsidRPr="00B14574" w14:paraId="700C5BC8" w14:textId="77777777" w:rsidTr="00DD1012">
        <w:trPr>
          <w:trHeight w:val="297"/>
        </w:trPr>
        <w:tc>
          <w:tcPr>
            <w:tcW w:w="4084" w:type="dxa"/>
            <w:tcBorders>
              <w:top w:val="single" w:sz="4" w:space="0" w:color="auto"/>
              <w:left w:val="single" w:sz="4" w:space="0" w:color="auto"/>
              <w:bottom w:val="single" w:sz="4" w:space="0" w:color="auto"/>
              <w:right w:val="single" w:sz="4" w:space="0" w:color="auto"/>
            </w:tcBorders>
          </w:tcPr>
          <w:p w14:paraId="4EE61F32" w14:textId="77777777" w:rsidR="00093E28" w:rsidRPr="00B14574" w:rsidRDefault="00093E28" w:rsidP="00BF69A6">
            <w:pPr>
              <w:spacing w:after="0" w:line="240" w:lineRule="auto"/>
              <w:ind w:left="284"/>
              <w:rPr>
                <w:rFonts w:ascii="Verdana" w:hAnsi="Verdana" w:cs="Verdana"/>
                <w:sz w:val="18"/>
                <w:szCs w:val="18"/>
              </w:rPr>
            </w:pPr>
            <w:r>
              <w:rPr>
                <w:rFonts w:ascii="Verdana" w:hAnsi="Verdana" w:cs="Verdana"/>
                <w:sz w:val="18"/>
                <w:szCs w:val="18"/>
              </w:rPr>
              <w:t xml:space="preserve">Final Exam </w:t>
            </w:r>
          </w:p>
        </w:tc>
        <w:tc>
          <w:tcPr>
            <w:tcW w:w="6100" w:type="dxa"/>
            <w:tcBorders>
              <w:top w:val="single" w:sz="4" w:space="0" w:color="auto"/>
              <w:left w:val="single" w:sz="4" w:space="0" w:color="auto"/>
              <w:bottom w:val="single" w:sz="4" w:space="0" w:color="auto"/>
              <w:right w:val="single" w:sz="4" w:space="0" w:color="auto"/>
            </w:tcBorders>
          </w:tcPr>
          <w:p w14:paraId="6D47A185" w14:textId="77777777" w:rsidR="00093E28" w:rsidRPr="00B14574" w:rsidRDefault="00BF69A6" w:rsidP="00055DAB">
            <w:pPr>
              <w:spacing w:after="0" w:line="240" w:lineRule="auto"/>
              <w:jc w:val="center"/>
              <w:rPr>
                <w:rFonts w:ascii="Verdana" w:hAnsi="Verdana" w:cs="Verdana"/>
                <w:sz w:val="18"/>
                <w:szCs w:val="18"/>
              </w:rPr>
            </w:pPr>
            <w:r>
              <w:rPr>
                <w:rFonts w:ascii="Verdana" w:hAnsi="Verdana" w:cs="Verdana"/>
                <w:sz w:val="18"/>
                <w:szCs w:val="18"/>
              </w:rPr>
              <w:t>25</w:t>
            </w:r>
            <w:r w:rsidR="00093E28">
              <w:rPr>
                <w:rFonts w:ascii="Verdana" w:hAnsi="Verdana" w:cs="Verdana"/>
                <w:sz w:val="18"/>
                <w:szCs w:val="18"/>
              </w:rPr>
              <w:t>%</w:t>
            </w:r>
          </w:p>
        </w:tc>
      </w:tr>
    </w:tbl>
    <w:p w14:paraId="2529FA39" w14:textId="77777777" w:rsidR="00635FD0" w:rsidRPr="00C42676" w:rsidRDefault="00635FD0" w:rsidP="00E932F7">
      <w:pPr>
        <w:spacing w:after="0" w:line="240" w:lineRule="auto"/>
        <w:rPr>
          <w:rFonts w:ascii="Verdana" w:hAnsi="Verdana" w:cs="Verdana"/>
          <w:sz w:val="18"/>
          <w:szCs w:val="18"/>
        </w:rPr>
      </w:pPr>
    </w:p>
    <w:p w14:paraId="56712C34" w14:textId="77777777" w:rsidR="0077434E" w:rsidRPr="000A448A" w:rsidRDefault="0077434E" w:rsidP="00E932F7">
      <w:pPr>
        <w:spacing w:after="0" w:line="240" w:lineRule="auto"/>
        <w:rPr>
          <w:rFonts w:ascii="Verdana" w:hAnsi="Verdana"/>
          <w:b/>
          <w:sz w:val="18"/>
          <w:szCs w:val="18"/>
        </w:rPr>
      </w:pPr>
      <w:r w:rsidRPr="000A448A">
        <w:rPr>
          <w:rFonts w:ascii="Verdana" w:hAnsi="Verdana"/>
          <w:b/>
          <w:sz w:val="18"/>
          <w:szCs w:val="18"/>
        </w:rPr>
        <w:t>Grading Scale:</w:t>
      </w:r>
    </w:p>
    <w:p w14:paraId="4EB9BC61" w14:textId="77777777" w:rsidR="0077434E" w:rsidRDefault="0077434E" w:rsidP="00E932F7">
      <w:pPr>
        <w:spacing w:after="0" w:line="240" w:lineRule="auto"/>
        <w:rPr>
          <w:rFonts w:ascii="Verdana" w:hAnsi="Verdana"/>
          <w:sz w:val="18"/>
          <w:szCs w:val="18"/>
        </w:rPr>
      </w:pPr>
      <w:r>
        <w:rPr>
          <w:rFonts w:ascii="Verdana" w:hAnsi="Verdana"/>
          <w:sz w:val="18"/>
          <w:szCs w:val="18"/>
        </w:rPr>
        <w:t>NSU standard grading scale will be followed.</w:t>
      </w:r>
    </w:p>
    <w:p w14:paraId="467CA7E2" w14:textId="77777777" w:rsidR="00635FD0" w:rsidRDefault="00635FD0" w:rsidP="00E932F7">
      <w:pPr>
        <w:spacing w:after="0" w:line="240" w:lineRule="auto"/>
        <w:rPr>
          <w:rFonts w:ascii="Times New Roman" w:hAnsi="Times New Roman" w:cs="Times New Roman"/>
          <w:sz w:val="18"/>
          <w:szCs w:val="18"/>
        </w:rPr>
      </w:pPr>
      <w:r>
        <w:rPr>
          <w:rFonts w:ascii="Verdana" w:hAnsi="Verdana" w:cs="Verdana"/>
          <w:sz w:val="18"/>
          <w:szCs w:val="18"/>
        </w:rPr>
        <w:t xml:space="preserve">Please Refer to NSU </w:t>
      </w:r>
      <w:r w:rsidRPr="001E225B">
        <w:rPr>
          <w:rFonts w:ascii="Verdana" w:hAnsi="Verdana" w:cs="Verdana"/>
          <w:sz w:val="18"/>
          <w:szCs w:val="18"/>
        </w:rPr>
        <w:t>Student Handbook, Section: “Grading Policy”</w:t>
      </w:r>
    </w:p>
    <w:p w14:paraId="3741705B" w14:textId="77777777" w:rsidR="004D4176" w:rsidRDefault="004D4176" w:rsidP="00E932F7">
      <w:pPr>
        <w:spacing w:after="0" w:line="240" w:lineRule="auto"/>
        <w:rPr>
          <w:rFonts w:ascii="Verdana" w:hAnsi="Verdana" w:cs="Verdana"/>
          <w:sz w:val="18"/>
          <w:szCs w:val="18"/>
        </w:rPr>
      </w:pPr>
    </w:p>
    <w:tbl>
      <w:tblPr>
        <w:tblW w:w="10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
        <w:gridCol w:w="5878"/>
        <w:gridCol w:w="4292"/>
        <w:gridCol w:w="90"/>
      </w:tblGrid>
      <w:tr w:rsidR="00635FD0" w:rsidRPr="00B14574" w14:paraId="20423387" w14:textId="77777777" w:rsidTr="00C25014">
        <w:trPr>
          <w:gridAfter w:val="1"/>
          <w:wAfter w:w="90" w:type="dxa"/>
          <w:trHeight w:val="317"/>
        </w:trPr>
        <w:tc>
          <w:tcPr>
            <w:tcW w:w="10384" w:type="dxa"/>
            <w:gridSpan w:val="3"/>
            <w:tcBorders>
              <w:left w:val="nil"/>
              <w:right w:val="nil"/>
            </w:tcBorders>
            <w:shd w:val="clear" w:color="auto" w:fill="D9D9D9"/>
          </w:tcPr>
          <w:p w14:paraId="64801212" w14:textId="77777777"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Classroom Rules of Conduct</w:t>
            </w:r>
          </w:p>
        </w:tc>
      </w:tr>
      <w:tr w:rsidR="00635FD0" w:rsidRPr="00B14574" w14:paraId="7972EE6A" w14:textId="77777777" w:rsidTr="00C25014">
        <w:tblPrEx>
          <w:tblBorders>
            <w:left w:val="none" w:sz="0" w:space="0" w:color="auto"/>
            <w:bottom w:val="none" w:sz="0" w:space="0" w:color="auto"/>
            <w:right w:val="none" w:sz="0" w:space="0" w:color="auto"/>
          </w:tblBorders>
        </w:tblPrEx>
        <w:trPr>
          <w:trHeight w:val="2979"/>
        </w:trPr>
        <w:tc>
          <w:tcPr>
            <w:tcW w:w="10474" w:type="dxa"/>
            <w:gridSpan w:val="4"/>
            <w:tcBorders>
              <w:bottom w:val="nil"/>
              <w:right w:val="nil"/>
            </w:tcBorders>
          </w:tcPr>
          <w:p w14:paraId="26BF869B" w14:textId="77777777" w:rsidR="00635FD0" w:rsidRPr="00B14574" w:rsidRDefault="00635FD0" w:rsidP="00E932F7">
            <w:pPr>
              <w:pStyle w:val="ListParagraph"/>
              <w:numPr>
                <w:ilvl w:val="0"/>
                <w:numId w:val="35"/>
              </w:numPr>
              <w:tabs>
                <w:tab w:val="clear" w:pos="720"/>
                <w:tab w:val="num" w:pos="318"/>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You may use your </w:t>
            </w:r>
            <w:r w:rsidRPr="00B14574">
              <w:rPr>
                <w:rFonts w:ascii="Verdana" w:hAnsi="Verdana" w:cs="Verdana"/>
                <w:b/>
                <w:bCs/>
                <w:sz w:val="18"/>
                <w:szCs w:val="18"/>
              </w:rPr>
              <w:t>laptops</w:t>
            </w:r>
            <w:r w:rsidRPr="00B14574">
              <w:rPr>
                <w:rFonts w:ascii="Verdana" w:hAnsi="Verdana" w:cs="Verdana"/>
                <w:sz w:val="18"/>
                <w:szCs w:val="18"/>
              </w:rPr>
              <w:t xml:space="preserve"> in the class for class related work. Do not use your laptop for non-class related work or in any manner that will be distracting to other students or the instructor</w:t>
            </w:r>
            <w:r w:rsidRPr="00B14574">
              <w:rPr>
                <w:rFonts w:ascii="Times New Roman" w:hAnsi="Times New Roman" w:cs="Times New Roman"/>
                <w:sz w:val="18"/>
                <w:szCs w:val="18"/>
              </w:rPr>
              <w:t>.</w:t>
            </w:r>
          </w:p>
          <w:p w14:paraId="1C9BA381" w14:textId="77777777"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Use of </w:t>
            </w:r>
            <w:r w:rsidRPr="00B14574">
              <w:rPr>
                <w:rFonts w:ascii="Verdana" w:hAnsi="Verdana" w:cs="Verdana"/>
                <w:b/>
                <w:bCs/>
                <w:sz w:val="18"/>
                <w:szCs w:val="18"/>
              </w:rPr>
              <w:t>cell phones</w:t>
            </w:r>
            <w:r w:rsidRPr="00B14574">
              <w:rPr>
                <w:rFonts w:ascii="Verdana" w:hAnsi="Verdana" w:cs="Verdana"/>
                <w:sz w:val="18"/>
                <w:szCs w:val="18"/>
              </w:rPr>
              <w:t xml:space="preserve"> in class is not permitted.</w:t>
            </w:r>
          </w:p>
          <w:p w14:paraId="19DC5260" w14:textId="77777777"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Students are advised to frequently refer to the </w:t>
            </w:r>
            <w:r w:rsidRPr="00B14574">
              <w:rPr>
                <w:rFonts w:ascii="Verdana" w:hAnsi="Verdana" w:cs="Verdana"/>
                <w:b/>
                <w:bCs/>
                <w:sz w:val="18"/>
                <w:szCs w:val="18"/>
              </w:rPr>
              <w:t xml:space="preserve">Student Handbook of North South University </w:t>
            </w:r>
            <w:r w:rsidRPr="00B14574">
              <w:rPr>
                <w:rFonts w:ascii="Verdana" w:hAnsi="Verdana" w:cs="Verdana"/>
                <w:sz w:val="18"/>
                <w:szCs w:val="18"/>
              </w:rPr>
              <w:t>on the following link:</w:t>
            </w:r>
          </w:p>
          <w:p w14:paraId="3450DD6E" w14:textId="77777777"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b/>
                <w:bCs/>
                <w:sz w:val="18"/>
                <w:szCs w:val="18"/>
              </w:rPr>
            </w:pPr>
            <w:r w:rsidRPr="00B14574">
              <w:rPr>
                <w:rFonts w:ascii="Verdana" w:hAnsi="Verdana" w:cs="Verdana"/>
                <w:b/>
                <w:bCs/>
                <w:sz w:val="18"/>
                <w:szCs w:val="18"/>
              </w:rPr>
              <w:t xml:space="preserve">Academic Integrity Policy: </w:t>
            </w:r>
          </w:p>
          <w:p w14:paraId="1D4B936A" w14:textId="77777777" w:rsidR="00635FD0" w:rsidRPr="00B14574" w:rsidRDefault="00635FD0" w:rsidP="00E932F7">
            <w:pPr>
              <w:tabs>
                <w:tab w:val="num" w:pos="567"/>
              </w:tabs>
              <w:spacing w:after="0" w:line="240" w:lineRule="auto"/>
              <w:ind w:left="318"/>
              <w:jc w:val="both"/>
              <w:rPr>
                <w:rFonts w:ascii="Verdana" w:hAnsi="Verdana" w:cs="Verdana"/>
                <w:sz w:val="18"/>
                <w:szCs w:val="18"/>
              </w:rPr>
            </w:pPr>
            <w:r w:rsidRPr="00B14574">
              <w:rPr>
                <w:rFonts w:ascii="Verdana" w:hAnsi="Verdana" w:cs="Verdana"/>
                <w:sz w:val="18"/>
                <w:szCs w:val="18"/>
              </w:rPr>
              <w:t xml:space="preserve">School of Business </w:t>
            </w:r>
            <w:r w:rsidR="00C25014">
              <w:rPr>
                <w:rFonts w:ascii="Verdana" w:hAnsi="Verdana" w:cs="Verdana"/>
                <w:sz w:val="18"/>
                <w:szCs w:val="18"/>
              </w:rPr>
              <w:t xml:space="preserve">and Economics </w:t>
            </w:r>
            <w:r w:rsidRPr="00B14574">
              <w:rPr>
                <w:rFonts w:ascii="Verdana" w:hAnsi="Verdana" w:cs="Verdana"/>
                <w:sz w:val="18"/>
                <w:szCs w:val="18"/>
              </w:rPr>
              <w:t>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14:paraId="776303CD" w14:textId="77777777" w:rsidR="00635FD0" w:rsidRPr="00B14574" w:rsidRDefault="00635FD0" w:rsidP="00E932F7">
            <w:pPr>
              <w:tabs>
                <w:tab w:val="num" w:pos="851"/>
              </w:tabs>
              <w:spacing w:after="0" w:line="240" w:lineRule="auto"/>
              <w:ind w:left="318"/>
              <w:jc w:val="both"/>
              <w:rPr>
                <w:rFonts w:ascii="Verdana" w:hAnsi="Verdana" w:cs="Verdana"/>
                <w:sz w:val="18"/>
                <w:szCs w:val="18"/>
              </w:rPr>
            </w:pPr>
            <w:r w:rsidRPr="00B14574">
              <w:rPr>
                <w:rFonts w:ascii="Verdana" w:hAnsi="Verdana" w:cs="Verdana"/>
                <w:sz w:val="18"/>
                <w:szCs w:val="18"/>
              </w:rPr>
              <w:t xml:space="preserve">Students are advised that violations of the Student Integrity Code will be treated seriously, with special attention given to repeated offences. </w:t>
            </w:r>
          </w:p>
          <w:p w14:paraId="2C95B574" w14:textId="77777777" w:rsidR="00197DAF" w:rsidRDefault="00635FD0" w:rsidP="0001181D">
            <w:pPr>
              <w:spacing w:after="0" w:line="240" w:lineRule="auto"/>
              <w:ind w:left="318"/>
              <w:jc w:val="both"/>
              <w:rPr>
                <w:rFonts w:ascii="Verdana" w:hAnsi="Verdana" w:cs="Verdana"/>
                <w:sz w:val="18"/>
                <w:szCs w:val="18"/>
              </w:rPr>
            </w:pPr>
            <w:r w:rsidRPr="00B14574">
              <w:rPr>
                <w:rFonts w:ascii="Verdana" w:hAnsi="Verdana" w:cs="Verdana"/>
                <w:sz w:val="18"/>
                <w:szCs w:val="18"/>
              </w:rPr>
              <w:t>Please Refer to NSU Student Handbook, Sections: “Disciplinary Actions” and “Procedures and Guidelines”.</w:t>
            </w:r>
          </w:p>
          <w:p w14:paraId="065EDEDD" w14:textId="77777777" w:rsidR="002C5DCB" w:rsidRDefault="002C5DCB" w:rsidP="0001181D">
            <w:pPr>
              <w:spacing w:after="0" w:line="240" w:lineRule="auto"/>
              <w:ind w:left="318"/>
              <w:jc w:val="both"/>
              <w:rPr>
                <w:rFonts w:ascii="Verdana" w:hAnsi="Verdana" w:cs="Verdana"/>
                <w:sz w:val="18"/>
                <w:szCs w:val="18"/>
              </w:rPr>
            </w:pPr>
          </w:p>
          <w:p w14:paraId="00986ED9" w14:textId="77777777" w:rsidR="002C5DCB" w:rsidRDefault="002C5DCB" w:rsidP="0001181D">
            <w:pPr>
              <w:spacing w:after="0" w:line="240" w:lineRule="auto"/>
              <w:ind w:left="318"/>
              <w:jc w:val="both"/>
              <w:rPr>
                <w:rFonts w:ascii="Verdana" w:hAnsi="Verdana" w:cs="Verdana"/>
                <w:sz w:val="18"/>
                <w:szCs w:val="18"/>
              </w:rPr>
            </w:pPr>
          </w:p>
          <w:p w14:paraId="72E134E6" w14:textId="77777777" w:rsidR="00685F8E" w:rsidRDefault="00685F8E" w:rsidP="0001181D">
            <w:pPr>
              <w:spacing w:after="0" w:line="240" w:lineRule="auto"/>
              <w:ind w:left="318"/>
              <w:jc w:val="both"/>
              <w:rPr>
                <w:rFonts w:ascii="Verdana" w:hAnsi="Verdana" w:cs="Verdana"/>
                <w:sz w:val="18"/>
                <w:szCs w:val="18"/>
              </w:rPr>
            </w:pPr>
          </w:p>
          <w:p w14:paraId="44B752FE" w14:textId="77777777" w:rsidR="00685F8E" w:rsidRDefault="00685F8E" w:rsidP="0001181D">
            <w:pPr>
              <w:spacing w:after="0" w:line="240" w:lineRule="auto"/>
              <w:ind w:left="318"/>
              <w:jc w:val="both"/>
              <w:rPr>
                <w:rFonts w:ascii="Verdana" w:hAnsi="Verdana" w:cs="Verdana"/>
                <w:sz w:val="18"/>
                <w:szCs w:val="18"/>
              </w:rPr>
            </w:pPr>
          </w:p>
          <w:p w14:paraId="47F7ADD1" w14:textId="77777777" w:rsidR="00685F8E" w:rsidRDefault="00685F8E" w:rsidP="0001181D">
            <w:pPr>
              <w:spacing w:after="0" w:line="240" w:lineRule="auto"/>
              <w:ind w:left="318"/>
              <w:jc w:val="both"/>
              <w:rPr>
                <w:rFonts w:ascii="Verdana" w:hAnsi="Verdana" w:cs="Verdana"/>
                <w:sz w:val="18"/>
                <w:szCs w:val="18"/>
              </w:rPr>
            </w:pPr>
          </w:p>
          <w:p w14:paraId="03D41913" w14:textId="77777777" w:rsidR="00685F8E" w:rsidRDefault="00685F8E" w:rsidP="0001181D">
            <w:pPr>
              <w:spacing w:after="0" w:line="240" w:lineRule="auto"/>
              <w:ind w:left="318"/>
              <w:jc w:val="both"/>
              <w:rPr>
                <w:rFonts w:ascii="Verdana" w:hAnsi="Verdana" w:cs="Verdana"/>
                <w:sz w:val="18"/>
                <w:szCs w:val="18"/>
              </w:rPr>
            </w:pPr>
          </w:p>
          <w:tbl>
            <w:tblPr>
              <w:tblW w:w="103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89"/>
            </w:tblGrid>
            <w:tr w:rsidR="00C25014" w:rsidRPr="00B14574" w14:paraId="7D971721" w14:textId="77777777" w:rsidTr="00C25014">
              <w:trPr>
                <w:trHeight w:val="235"/>
              </w:trPr>
              <w:tc>
                <w:tcPr>
                  <w:tcW w:w="10389" w:type="dxa"/>
                  <w:tcBorders>
                    <w:top w:val="nil"/>
                    <w:left w:val="nil"/>
                    <w:right w:val="nil"/>
                  </w:tcBorders>
                  <w:shd w:val="clear" w:color="auto" w:fill="D9D9D9"/>
                </w:tcPr>
                <w:p w14:paraId="7AD2A1D3" w14:textId="77777777" w:rsidR="00C25014" w:rsidRPr="00E932F7" w:rsidRDefault="00C25014" w:rsidP="00E477E6">
                  <w:pPr>
                    <w:pStyle w:val="Title"/>
                    <w:widowControl/>
                    <w:spacing w:after="0" w:line="240" w:lineRule="auto"/>
                    <w:jc w:val="left"/>
                    <w:rPr>
                      <w:rFonts w:ascii="Verdana" w:hAnsi="Verdana" w:cs="Verdana"/>
                      <w:sz w:val="20"/>
                      <w:szCs w:val="20"/>
                      <w:u w:val="none"/>
                      <w:lang w:val="en-US"/>
                    </w:rPr>
                  </w:pPr>
                  <w:r w:rsidRPr="00B14574">
                    <w:rPr>
                      <w:rFonts w:ascii="Verdana" w:hAnsi="Verdana" w:cs="Verdana"/>
                      <w:sz w:val="20"/>
                      <w:szCs w:val="20"/>
                      <w:u w:val="none"/>
                    </w:rPr>
                    <w:t>Attendance Policy</w:t>
                  </w:r>
                </w:p>
              </w:tc>
            </w:tr>
            <w:tr w:rsidR="00C25014" w:rsidRPr="00B14574" w14:paraId="32789349" w14:textId="77777777" w:rsidTr="00C25014">
              <w:tblPrEx>
                <w:tblBorders>
                  <w:left w:val="none" w:sz="0" w:space="0" w:color="auto"/>
                  <w:bottom w:val="none" w:sz="0" w:space="0" w:color="auto"/>
                  <w:right w:val="none" w:sz="0" w:space="0" w:color="auto"/>
                </w:tblBorders>
              </w:tblPrEx>
              <w:trPr>
                <w:trHeight w:val="1096"/>
              </w:trPr>
              <w:tc>
                <w:tcPr>
                  <w:tcW w:w="10389" w:type="dxa"/>
                  <w:tcBorders>
                    <w:right w:val="nil"/>
                  </w:tcBorders>
                </w:tcPr>
                <w:p w14:paraId="285F5A61" w14:textId="77777777" w:rsidR="00C25014" w:rsidRPr="00B14574" w:rsidRDefault="00C25014" w:rsidP="00E477E6">
                  <w:pPr>
                    <w:spacing w:after="0" w:line="240" w:lineRule="auto"/>
                    <w:jc w:val="both"/>
                    <w:rPr>
                      <w:rFonts w:ascii="Verdana" w:hAnsi="Verdana" w:cs="Verdana"/>
                      <w:sz w:val="18"/>
                      <w:szCs w:val="18"/>
                    </w:rPr>
                  </w:pPr>
                  <w:r w:rsidRPr="00B14574">
                    <w:rPr>
                      <w:rFonts w:ascii="Verdana" w:hAnsi="Verdana" w:cs="Verdana"/>
                      <w:sz w:val="18"/>
                      <w:szCs w:val="18"/>
                    </w:rPr>
                    <w:t xml:space="preserve">Students are required and expected to attend all classes and participate in class discussions.  North South University mandates to </w:t>
                  </w:r>
                  <w:r w:rsidRPr="0011272E">
                    <w:rPr>
                      <w:rFonts w:ascii="Verdana" w:hAnsi="Verdana" w:cs="Verdana"/>
                      <w:b/>
                      <w:sz w:val="18"/>
                      <w:szCs w:val="18"/>
                    </w:rPr>
                    <w:t>fail students</w:t>
                  </w:r>
                  <w:r w:rsidRPr="00B14574">
                    <w:rPr>
                      <w:rFonts w:ascii="Verdana" w:hAnsi="Verdana" w:cs="Verdana"/>
                      <w:sz w:val="18"/>
                      <w:szCs w:val="18"/>
                    </w:rPr>
                    <w:t xml:space="preserve"> who are absent </w:t>
                  </w:r>
                  <w:r w:rsidRPr="0011272E">
                    <w:rPr>
                      <w:rFonts w:ascii="Verdana" w:hAnsi="Verdana" w:cs="Verdana"/>
                      <w:b/>
                      <w:sz w:val="18"/>
                      <w:szCs w:val="18"/>
                    </w:rPr>
                    <w:t>25% or more</w:t>
                  </w:r>
                  <w:r w:rsidRPr="00B14574">
                    <w:rPr>
                      <w:rFonts w:ascii="Verdana" w:hAnsi="Verdana" w:cs="Verdana"/>
                      <w:sz w:val="18"/>
                      <w:szCs w:val="18"/>
                    </w:rPr>
                    <w:t xml:space="preserve"> from their classes, even </w:t>
                  </w:r>
                  <w:r>
                    <w:rPr>
                      <w:rFonts w:ascii="Verdana" w:hAnsi="Verdana" w:cs="Verdana"/>
                      <w:sz w:val="18"/>
                      <w:szCs w:val="18"/>
                    </w:rPr>
                    <w:t xml:space="preserve">if such absences are excusable. </w:t>
                  </w:r>
                  <w:r w:rsidRPr="00BB61C2">
                    <w:rPr>
                      <w:rFonts w:ascii="Verdana" w:hAnsi="Verdana" w:cs="Verdana"/>
                      <w:sz w:val="18"/>
                      <w:szCs w:val="18"/>
                    </w:rPr>
                    <w:t xml:space="preserve">Students </w:t>
                  </w:r>
                  <w:r w:rsidRPr="00131379">
                    <w:rPr>
                      <w:rFonts w:ascii="Verdana" w:hAnsi="Verdana" w:cs="Verdana"/>
                      <w:b/>
                      <w:sz w:val="18"/>
                      <w:szCs w:val="18"/>
                      <w:u w:val="single"/>
                    </w:rPr>
                    <w:t>will not be allowed</w:t>
                  </w:r>
                  <w:r w:rsidRPr="00BB61C2">
                    <w:rPr>
                      <w:rFonts w:ascii="Verdana" w:hAnsi="Verdana" w:cs="Verdana"/>
                      <w:sz w:val="18"/>
                      <w:szCs w:val="18"/>
                    </w:rPr>
                    <w:t xml:space="preserve"> in class after </w:t>
                  </w:r>
                  <w:r>
                    <w:rPr>
                      <w:rFonts w:ascii="Verdana" w:hAnsi="Verdana" w:cs="Verdana"/>
                      <w:b/>
                      <w:sz w:val="18"/>
                      <w:szCs w:val="18"/>
                      <w:u w:val="single"/>
                    </w:rPr>
                    <w:t>3</w:t>
                  </w:r>
                  <w:r w:rsidRPr="00131379">
                    <w:rPr>
                      <w:rFonts w:ascii="Verdana" w:hAnsi="Verdana" w:cs="Verdana"/>
                      <w:b/>
                      <w:sz w:val="18"/>
                      <w:szCs w:val="18"/>
                      <w:u w:val="single"/>
                    </w:rPr>
                    <w:t>0 minutes</w:t>
                  </w:r>
                  <w:r w:rsidRPr="00BB61C2">
                    <w:rPr>
                      <w:rFonts w:ascii="Verdana" w:hAnsi="Verdana" w:cs="Verdana"/>
                      <w:sz w:val="18"/>
                      <w:szCs w:val="18"/>
                    </w:rPr>
                    <w:t xml:space="preserve"> of the scheduled start of the class.</w:t>
                  </w:r>
                  <w:r>
                    <w:rPr>
                      <w:rFonts w:ascii="Verdana" w:hAnsi="Verdana" w:cs="Verdana"/>
                      <w:sz w:val="18"/>
                      <w:szCs w:val="18"/>
                    </w:rPr>
                    <w:t xml:space="preserve"> If a student is late for more than 30 minutes, s/he will be considered absent and no request for manually updating </w:t>
                  </w:r>
                  <w:r w:rsidR="00BE3F2C">
                    <w:rPr>
                      <w:rFonts w:ascii="Verdana" w:hAnsi="Verdana" w:cs="Verdana"/>
                      <w:sz w:val="18"/>
                      <w:szCs w:val="18"/>
                    </w:rPr>
                    <w:t>attendance will be entertained!</w:t>
                  </w:r>
                </w:p>
                <w:p w14:paraId="6D1B0BC9" w14:textId="77777777" w:rsidR="00C25014" w:rsidRDefault="00C25014" w:rsidP="00E477E6">
                  <w:pPr>
                    <w:spacing w:after="0" w:line="240" w:lineRule="auto"/>
                    <w:rPr>
                      <w:rFonts w:ascii="Verdana" w:hAnsi="Verdana" w:cs="Verdana"/>
                      <w:sz w:val="18"/>
                      <w:szCs w:val="18"/>
                    </w:rPr>
                  </w:pPr>
                  <w:r w:rsidRPr="00B14574">
                    <w:rPr>
                      <w:rFonts w:ascii="Verdana" w:hAnsi="Verdana" w:cs="Verdana"/>
                      <w:sz w:val="18"/>
                      <w:szCs w:val="18"/>
                    </w:rPr>
                    <w:t>Please Refer to NSU Student Handbook, Section: “Study Principles and Policies”</w:t>
                  </w:r>
                </w:p>
                <w:p w14:paraId="41A001F9" w14:textId="77777777" w:rsidR="00685F8E" w:rsidRPr="00B14574" w:rsidRDefault="00685F8E" w:rsidP="00E477E6">
                  <w:pPr>
                    <w:spacing w:after="0" w:line="240" w:lineRule="auto"/>
                    <w:rPr>
                      <w:rFonts w:ascii="Verdana" w:hAnsi="Verdana" w:cs="Verdana"/>
                      <w:sz w:val="16"/>
                      <w:szCs w:val="16"/>
                    </w:rPr>
                  </w:pPr>
                </w:p>
              </w:tc>
            </w:tr>
            <w:tr w:rsidR="00C25014" w:rsidRPr="00B14574" w14:paraId="4C10120D" w14:textId="77777777" w:rsidTr="00C25014">
              <w:trPr>
                <w:trHeight w:val="235"/>
              </w:trPr>
              <w:tc>
                <w:tcPr>
                  <w:tcW w:w="10389" w:type="dxa"/>
                  <w:tcBorders>
                    <w:left w:val="nil"/>
                    <w:right w:val="nil"/>
                  </w:tcBorders>
                  <w:shd w:val="clear" w:color="auto" w:fill="D9D9D9"/>
                </w:tcPr>
                <w:p w14:paraId="56B72B97" w14:textId="77777777" w:rsidR="00C25014" w:rsidRPr="00B14574" w:rsidRDefault="00C25014" w:rsidP="00E477E6">
                  <w:pPr>
                    <w:pStyle w:val="Title"/>
                    <w:widowControl/>
                    <w:spacing w:after="0" w:line="240" w:lineRule="auto"/>
                    <w:jc w:val="left"/>
                    <w:rPr>
                      <w:rFonts w:ascii="Verdana" w:hAnsi="Verdana" w:cs="Verdana"/>
                      <w:sz w:val="20"/>
                      <w:szCs w:val="20"/>
                      <w:u w:val="none"/>
                    </w:rPr>
                  </w:pPr>
                  <w:r w:rsidRPr="00B14574">
                    <w:rPr>
                      <w:rFonts w:ascii="Verdana" w:hAnsi="Verdana" w:cs="Verdana"/>
                      <w:sz w:val="18"/>
                      <w:szCs w:val="18"/>
                    </w:rPr>
                    <w:br w:type="page"/>
                  </w:r>
                  <w:r w:rsidRPr="00B14574">
                    <w:rPr>
                      <w:rFonts w:ascii="Verdana" w:hAnsi="Verdana" w:cs="Verdana"/>
                      <w:sz w:val="20"/>
                      <w:szCs w:val="20"/>
                      <w:u w:val="none"/>
                    </w:rPr>
                    <w:t>Communication Policy</w:t>
                  </w:r>
                </w:p>
              </w:tc>
            </w:tr>
            <w:tr w:rsidR="00C25014" w:rsidRPr="00B14574" w14:paraId="1BDED766" w14:textId="77777777" w:rsidTr="00C25014">
              <w:tblPrEx>
                <w:tblBorders>
                  <w:left w:val="none" w:sz="0" w:space="0" w:color="auto"/>
                  <w:bottom w:val="none" w:sz="0" w:space="0" w:color="auto"/>
                  <w:right w:val="none" w:sz="0" w:space="0" w:color="auto"/>
                </w:tblBorders>
              </w:tblPrEx>
              <w:trPr>
                <w:trHeight w:val="790"/>
              </w:trPr>
              <w:tc>
                <w:tcPr>
                  <w:tcW w:w="10389" w:type="dxa"/>
                  <w:tcBorders>
                    <w:right w:val="nil"/>
                  </w:tcBorders>
                </w:tcPr>
                <w:p w14:paraId="1F916088" w14:textId="77777777" w:rsidR="00C25014" w:rsidRDefault="00C25014" w:rsidP="00E477E6">
                  <w:pPr>
                    <w:spacing w:after="0" w:line="240" w:lineRule="auto"/>
                    <w:jc w:val="both"/>
                    <w:rPr>
                      <w:rFonts w:ascii="Verdana" w:hAnsi="Verdana" w:cs="Verdana"/>
                      <w:sz w:val="18"/>
                      <w:szCs w:val="18"/>
                    </w:rPr>
                  </w:pPr>
                  <w:r w:rsidRPr="00B14574">
                    <w:rPr>
                      <w:rFonts w:ascii="Verdana" w:hAnsi="Verdana" w:cs="Verdana"/>
                      <w:sz w:val="18"/>
                      <w:szCs w:val="18"/>
                    </w:rPr>
                    <w:t xml:space="preserve">All communications should take place using the instructor’s email. Announcements in the </w:t>
                  </w:r>
                  <w:r>
                    <w:rPr>
                      <w:rFonts w:ascii="Verdana" w:hAnsi="Verdana" w:cs="Verdana"/>
                      <w:sz w:val="18"/>
                      <w:szCs w:val="18"/>
                    </w:rPr>
                    <w:t>course website</w:t>
                  </w:r>
                  <w:r w:rsidRPr="00B14574">
                    <w:rPr>
                      <w:rFonts w:ascii="Verdana" w:hAnsi="Verdana" w:cs="Verdana"/>
                      <w:sz w:val="18"/>
                      <w:szCs w:val="18"/>
                    </w:rPr>
                    <w:t xml:space="preserve"> will override any statement made here or in any other handouts. It is the student’s responsibility to be aware of any announcements made via </w:t>
                  </w:r>
                  <w:r>
                    <w:rPr>
                      <w:rFonts w:ascii="Verdana" w:hAnsi="Verdana" w:cs="Verdana"/>
                      <w:sz w:val="18"/>
                      <w:szCs w:val="18"/>
                    </w:rPr>
                    <w:t>Course Website</w:t>
                  </w:r>
                  <w:r w:rsidRPr="00B14574">
                    <w:rPr>
                      <w:rFonts w:ascii="Verdana" w:hAnsi="Verdana" w:cs="Verdana"/>
                      <w:sz w:val="18"/>
                      <w:szCs w:val="18"/>
                    </w:rPr>
                    <w:t>.</w:t>
                  </w:r>
                </w:p>
                <w:p w14:paraId="2730F2C9" w14:textId="77777777" w:rsidR="00685F8E" w:rsidRPr="00B14574" w:rsidRDefault="00685F8E" w:rsidP="00E477E6">
                  <w:pPr>
                    <w:spacing w:after="0" w:line="240" w:lineRule="auto"/>
                    <w:jc w:val="both"/>
                    <w:rPr>
                      <w:rFonts w:ascii="Verdana" w:hAnsi="Verdana" w:cs="Verdana"/>
                      <w:sz w:val="18"/>
                      <w:szCs w:val="18"/>
                    </w:rPr>
                  </w:pPr>
                </w:p>
              </w:tc>
            </w:tr>
            <w:tr w:rsidR="00C25014" w:rsidRPr="00B14574" w14:paraId="6B5FCE56" w14:textId="77777777" w:rsidTr="00C25014">
              <w:tblPrEx>
                <w:tblBorders>
                  <w:left w:val="none" w:sz="0" w:space="0" w:color="auto"/>
                  <w:bottom w:val="none" w:sz="0" w:space="0" w:color="auto"/>
                  <w:right w:val="none" w:sz="0" w:space="0" w:color="auto"/>
                </w:tblBorders>
              </w:tblPrEx>
              <w:trPr>
                <w:trHeight w:val="235"/>
              </w:trPr>
              <w:tc>
                <w:tcPr>
                  <w:tcW w:w="10389" w:type="dxa"/>
                  <w:tcBorders>
                    <w:right w:val="nil"/>
                  </w:tcBorders>
                  <w:shd w:val="clear" w:color="auto" w:fill="D9D9D9"/>
                </w:tcPr>
                <w:p w14:paraId="4EFA1761" w14:textId="77777777" w:rsidR="00C25014" w:rsidRPr="00E932F7" w:rsidRDefault="00C25014" w:rsidP="00E477E6">
                  <w:pPr>
                    <w:pStyle w:val="Title"/>
                    <w:widowControl/>
                    <w:spacing w:after="0" w:line="240" w:lineRule="auto"/>
                    <w:jc w:val="left"/>
                    <w:rPr>
                      <w:rFonts w:ascii="Verdana" w:hAnsi="Verdana" w:cs="Verdana"/>
                      <w:sz w:val="20"/>
                      <w:szCs w:val="20"/>
                      <w:u w:val="none"/>
                      <w:lang w:val="en-US"/>
                    </w:rPr>
                  </w:pPr>
                  <w:r w:rsidRPr="00B14574">
                    <w:rPr>
                      <w:rFonts w:ascii="Verdana" w:hAnsi="Verdana" w:cs="Verdana"/>
                      <w:sz w:val="18"/>
                      <w:szCs w:val="18"/>
                    </w:rPr>
                    <w:br w:type="page"/>
                  </w:r>
                  <w:r w:rsidRPr="00B14574">
                    <w:rPr>
                      <w:rFonts w:ascii="Verdana" w:hAnsi="Verdana" w:cs="Verdana"/>
                      <w:sz w:val="20"/>
                      <w:szCs w:val="20"/>
                      <w:u w:val="none"/>
                    </w:rPr>
                    <w:t>Students With Special Needs</w:t>
                  </w:r>
                </w:p>
              </w:tc>
            </w:tr>
            <w:tr w:rsidR="00C25014" w:rsidRPr="00B14574" w14:paraId="081581FF" w14:textId="77777777" w:rsidTr="00C25014">
              <w:tblPrEx>
                <w:tblBorders>
                  <w:left w:val="none" w:sz="0" w:space="0" w:color="auto"/>
                  <w:bottom w:val="none" w:sz="0" w:space="0" w:color="auto"/>
                  <w:right w:val="none" w:sz="0" w:space="0" w:color="auto"/>
                </w:tblBorders>
              </w:tblPrEx>
              <w:trPr>
                <w:trHeight w:val="1096"/>
              </w:trPr>
              <w:tc>
                <w:tcPr>
                  <w:tcW w:w="10389" w:type="dxa"/>
                  <w:tcBorders>
                    <w:right w:val="nil"/>
                  </w:tcBorders>
                </w:tcPr>
                <w:p w14:paraId="557B9ADF" w14:textId="77777777" w:rsidR="00C25014" w:rsidRPr="00B14574" w:rsidRDefault="00C25014" w:rsidP="00E477E6">
                  <w:pPr>
                    <w:spacing w:after="0" w:line="240" w:lineRule="auto"/>
                    <w:jc w:val="both"/>
                    <w:rPr>
                      <w:rFonts w:ascii="Verdana" w:hAnsi="Verdana" w:cs="Verdana"/>
                      <w:sz w:val="18"/>
                      <w:szCs w:val="18"/>
                    </w:rPr>
                  </w:pPr>
                  <w:r w:rsidRPr="00B14574">
                    <w:rPr>
                      <w:rFonts w:ascii="Verdana" w:hAnsi="Verdana" w:cs="Verdana"/>
                      <w:sz w:val="18"/>
                      <w:szCs w:val="18"/>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14:paraId="01F150EE" w14:textId="77777777" w:rsidR="00C25014" w:rsidRDefault="00C25014" w:rsidP="00E477E6">
                  <w:pPr>
                    <w:spacing w:after="0" w:line="240" w:lineRule="auto"/>
                    <w:rPr>
                      <w:rFonts w:ascii="Verdana" w:hAnsi="Verdana" w:cs="Verdana"/>
                      <w:sz w:val="18"/>
                      <w:szCs w:val="18"/>
                    </w:rPr>
                  </w:pPr>
                  <w:r w:rsidRPr="00B14574">
                    <w:rPr>
                      <w:rFonts w:ascii="Verdana" w:hAnsi="Verdana" w:cs="Verdana"/>
                      <w:sz w:val="18"/>
                      <w:szCs w:val="18"/>
                    </w:rPr>
                    <w:t xml:space="preserve">Please Refer to NSU Student Handbook, Section: “Special Needs Services”  </w:t>
                  </w:r>
                </w:p>
                <w:p w14:paraId="21BA6DDD" w14:textId="77777777" w:rsidR="00C25014" w:rsidRPr="00D91208" w:rsidRDefault="00C25014" w:rsidP="00E477E6">
                  <w:pPr>
                    <w:spacing w:after="0" w:line="240" w:lineRule="auto"/>
                    <w:rPr>
                      <w:rFonts w:ascii="Verdana" w:hAnsi="Verdana" w:cs="Verdana"/>
                      <w:sz w:val="14"/>
                      <w:szCs w:val="16"/>
                    </w:rPr>
                  </w:pPr>
                </w:p>
              </w:tc>
            </w:tr>
            <w:tr w:rsidR="00C25014" w:rsidRPr="00B14574" w14:paraId="01AB0963" w14:textId="77777777" w:rsidTr="00C25014">
              <w:trPr>
                <w:trHeight w:val="235"/>
              </w:trPr>
              <w:tc>
                <w:tcPr>
                  <w:tcW w:w="10389" w:type="dxa"/>
                  <w:tcBorders>
                    <w:left w:val="nil"/>
                    <w:right w:val="nil"/>
                  </w:tcBorders>
                  <w:shd w:val="clear" w:color="auto" w:fill="D9D9D9"/>
                </w:tcPr>
                <w:p w14:paraId="3C28BB6D" w14:textId="77777777" w:rsidR="00C25014" w:rsidRPr="00B14574" w:rsidRDefault="00C25014" w:rsidP="00E477E6">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Students Complaints Policy</w:t>
                  </w:r>
                </w:p>
              </w:tc>
            </w:tr>
            <w:tr w:rsidR="00C25014" w:rsidRPr="00B14574" w14:paraId="45D861D0" w14:textId="77777777" w:rsidTr="00C25014">
              <w:tblPrEx>
                <w:tblBorders>
                  <w:left w:val="none" w:sz="0" w:space="0" w:color="auto"/>
                  <w:bottom w:val="none" w:sz="0" w:space="0" w:color="auto"/>
                  <w:right w:val="none" w:sz="0" w:space="0" w:color="auto"/>
                </w:tblBorders>
              </w:tblPrEx>
              <w:trPr>
                <w:trHeight w:val="70"/>
              </w:trPr>
              <w:tc>
                <w:tcPr>
                  <w:tcW w:w="10389" w:type="dxa"/>
                  <w:tcBorders>
                    <w:right w:val="nil"/>
                  </w:tcBorders>
                </w:tcPr>
                <w:p w14:paraId="1993C4B4" w14:textId="77777777" w:rsidR="00C25014" w:rsidRDefault="00C25014" w:rsidP="00E477E6">
                  <w:pPr>
                    <w:spacing w:after="0" w:line="240" w:lineRule="auto"/>
                    <w:jc w:val="both"/>
                    <w:rPr>
                      <w:rFonts w:ascii="Verdana" w:hAnsi="Verdana" w:cs="Verdana"/>
                      <w:sz w:val="18"/>
                      <w:szCs w:val="18"/>
                    </w:rPr>
                  </w:pPr>
                  <w:r w:rsidRPr="00B14574">
                    <w:rPr>
                      <w:rFonts w:ascii="Verdana" w:hAnsi="Verdana" w:cs="Verdana"/>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w:t>
                  </w:r>
                </w:p>
                <w:p w14:paraId="54EDE789" w14:textId="77777777" w:rsidR="00685F8E" w:rsidRPr="00B14574" w:rsidRDefault="00685F8E" w:rsidP="00E477E6">
                  <w:pPr>
                    <w:spacing w:after="0" w:line="240" w:lineRule="auto"/>
                    <w:jc w:val="both"/>
                    <w:rPr>
                      <w:rFonts w:ascii="Verdana" w:hAnsi="Verdana" w:cs="Verdana"/>
                      <w:sz w:val="18"/>
                      <w:szCs w:val="18"/>
                    </w:rPr>
                  </w:pPr>
                </w:p>
              </w:tc>
            </w:tr>
          </w:tbl>
          <w:p w14:paraId="192D49BF" w14:textId="77777777" w:rsidR="00197DAF" w:rsidRPr="0077434E" w:rsidRDefault="00197DAF" w:rsidP="0001181D">
            <w:pPr>
              <w:spacing w:after="0" w:line="240" w:lineRule="auto"/>
              <w:ind w:left="318"/>
              <w:jc w:val="both"/>
              <w:rPr>
                <w:rFonts w:ascii="Verdana" w:hAnsi="Verdana" w:cs="Verdana"/>
                <w:sz w:val="18"/>
                <w:szCs w:val="18"/>
              </w:rPr>
            </w:pPr>
          </w:p>
        </w:tc>
      </w:tr>
      <w:tr w:rsidR="00635FD0" w:rsidRPr="00B14574" w14:paraId="15F447D3" w14:textId="77777777" w:rsidTr="00C25014">
        <w:trPr>
          <w:gridBefore w:val="1"/>
          <w:wBefore w:w="214" w:type="dxa"/>
          <w:trHeight w:val="325"/>
        </w:trPr>
        <w:tc>
          <w:tcPr>
            <w:tcW w:w="5878" w:type="dxa"/>
            <w:tcBorders>
              <w:left w:val="nil"/>
              <w:right w:val="nil"/>
            </w:tcBorders>
            <w:shd w:val="clear" w:color="auto" w:fill="D9D9D9"/>
          </w:tcPr>
          <w:p w14:paraId="49314408" w14:textId="77777777" w:rsidR="00635FD0" w:rsidRPr="00B14574" w:rsidRDefault="00635FD0" w:rsidP="00E932F7">
            <w:pPr>
              <w:spacing w:after="0" w:line="240" w:lineRule="auto"/>
              <w:jc w:val="both"/>
              <w:rPr>
                <w:rFonts w:ascii="Verdana" w:hAnsi="Verdana" w:cs="Verdana"/>
                <w:b/>
                <w:bCs/>
                <w:smallCaps/>
                <w:sz w:val="20"/>
                <w:szCs w:val="20"/>
                <w:lang w:val="en-GB"/>
              </w:rPr>
            </w:pPr>
            <w:r w:rsidRPr="00B14574">
              <w:rPr>
                <w:rFonts w:ascii="Verdana" w:hAnsi="Verdana" w:cs="Verdana"/>
                <w:b/>
                <w:bCs/>
                <w:smallCaps/>
                <w:sz w:val="20"/>
                <w:szCs w:val="20"/>
                <w:lang w:val="en-GB"/>
              </w:rPr>
              <w:lastRenderedPageBreak/>
              <w:t xml:space="preserve">Late Assignment Policy </w:t>
            </w:r>
          </w:p>
        </w:tc>
        <w:tc>
          <w:tcPr>
            <w:tcW w:w="4382" w:type="dxa"/>
            <w:gridSpan w:val="2"/>
            <w:tcBorders>
              <w:left w:val="nil"/>
              <w:right w:val="nil"/>
            </w:tcBorders>
            <w:shd w:val="clear" w:color="auto" w:fill="D9D9D9"/>
          </w:tcPr>
          <w:p w14:paraId="020BB390" w14:textId="77777777" w:rsidR="00635FD0" w:rsidRPr="00B14574" w:rsidRDefault="00635FD0" w:rsidP="00E932F7">
            <w:pPr>
              <w:pStyle w:val="Title"/>
              <w:widowControl/>
              <w:spacing w:after="0" w:line="240" w:lineRule="auto"/>
              <w:jc w:val="right"/>
              <w:rPr>
                <w:rFonts w:ascii="Verdana" w:hAnsi="Verdana" w:cs="Verdana"/>
                <w:sz w:val="22"/>
                <w:szCs w:val="22"/>
                <w:u w:val="none"/>
                <w:lang w:val="en-US"/>
              </w:rPr>
            </w:pPr>
          </w:p>
        </w:tc>
      </w:tr>
      <w:tr w:rsidR="00635FD0" w:rsidRPr="00B14574" w14:paraId="5AB7EAFC" w14:textId="77777777" w:rsidTr="00C25014">
        <w:trPr>
          <w:gridBefore w:val="1"/>
          <w:gridAfter w:val="1"/>
          <w:wBefore w:w="214" w:type="dxa"/>
          <w:wAfter w:w="90" w:type="dxa"/>
          <w:trHeight w:val="741"/>
        </w:trPr>
        <w:tc>
          <w:tcPr>
            <w:tcW w:w="10170" w:type="dxa"/>
            <w:gridSpan w:val="2"/>
            <w:tcBorders>
              <w:top w:val="nil"/>
              <w:left w:val="nil"/>
              <w:bottom w:val="nil"/>
              <w:right w:val="nil"/>
            </w:tcBorders>
          </w:tcPr>
          <w:p w14:paraId="57741915" w14:textId="77777777" w:rsidR="00530060" w:rsidRDefault="006B446C" w:rsidP="00B32726">
            <w:pPr>
              <w:spacing w:after="0" w:line="240" w:lineRule="auto"/>
              <w:jc w:val="both"/>
            </w:pPr>
            <w:r w:rsidRPr="00206529">
              <w:t xml:space="preserve">Promptness is a highly valued attribute in the workplace. Assignments or class work are designed to help students prepare for exam. Assignment and class work must be submitted in time. </w:t>
            </w:r>
            <w:r w:rsidRPr="00206529">
              <w:rPr>
                <w:u w:val="single"/>
              </w:rPr>
              <w:t>No provision for Late submission</w:t>
            </w:r>
            <w:r w:rsidRPr="00206529">
              <w:t>.</w:t>
            </w:r>
          </w:p>
          <w:p w14:paraId="1BF32AA6" w14:textId="77777777" w:rsidR="00685F8E" w:rsidRPr="00B14574" w:rsidRDefault="00685F8E" w:rsidP="00B32726">
            <w:pPr>
              <w:spacing w:after="0" w:line="240" w:lineRule="auto"/>
              <w:jc w:val="both"/>
              <w:rPr>
                <w:rFonts w:ascii="Verdana" w:hAnsi="Verdana" w:cs="Verdana"/>
                <w:sz w:val="18"/>
                <w:szCs w:val="18"/>
              </w:rPr>
            </w:pPr>
          </w:p>
        </w:tc>
      </w:tr>
      <w:tr w:rsidR="00635FD0" w:rsidRPr="00B14574" w14:paraId="73FD51E3" w14:textId="77777777" w:rsidTr="00C25014">
        <w:trPr>
          <w:gridBefore w:val="1"/>
          <w:wBefore w:w="214" w:type="dxa"/>
          <w:trHeight w:val="325"/>
        </w:trPr>
        <w:tc>
          <w:tcPr>
            <w:tcW w:w="5878" w:type="dxa"/>
            <w:tcBorders>
              <w:left w:val="nil"/>
              <w:right w:val="nil"/>
            </w:tcBorders>
            <w:shd w:val="clear" w:color="auto" w:fill="D9D9D9"/>
          </w:tcPr>
          <w:p w14:paraId="5CBEA6BA" w14:textId="77777777" w:rsidR="00635FD0" w:rsidRPr="00B14574" w:rsidRDefault="00635FD0" w:rsidP="00B32726">
            <w:pPr>
              <w:spacing w:after="0" w:line="240" w:lineRule="auto"/>
              <w:jc w:val="both"/>
              <w:rPr>
                <w:rFonts w:ascii="Verdana" w:hAnsi="Verdana" w:cs="Verdana"/>
                <w:b/>
                <w:bCs/>
                <w:smallCaps/>
                <w:sz w:val="20"/>
                <w:szCs w:val="20"/>
                <w:lang w:val="en-GB"/>
              </w:rPr>
            </w:pPr>
            <w:r w:rsidRPr="00B14574">
              <w:rPr>
                <w:rFonts w:ascii="Verdana" w:hAnsi="Verdana" w:cs="Verdana"/>
                <w:b/>
                <w:bCs/>
                <w:smallCaps/>
                <w:sz w:val="20"/>
                <w:szCs w:val="20"/>
                <w:lang w:val="en-GB"/>
              </w:rPr>
              <w:t xml:space="preserve">Group Project Policy </w:t>
            </w:r>
          </w:p>
        </w:tc>
        <w:tc>
          <w:tcPr>
            <w:tcW w:w="4382" w:type="dxa"/>
            <w:gridSpan w:val="2"/>
            <w:tcBorders>
              <w:left w:val="nil"/>
              <w:right w:val="nil"/>
            </w:tcBorders>
            <w:shd w:val="clear" w:color="auto" w:fill="D9D9D9"/>
          </w:tcPr>
          <w:p w14:paraId="190F1DF7" w14:textId="77777777" w:rsidR="00635FD0" w:rsidRPr="00B14574" w:rsidRDefault="00635FD0" w:rsidP="00B32726">
            <w:pPr>
              <w:pStyle w:val="Title"/>
              <w:widowControl/>
              <w:spacing w:after="0" w:line="240" w:lineRule="auto"/>
              <w:jc w:val="right"/>
              <w:rPr>
                <w:rFonts w:ascii="Verdana" w:hAnsi="Verdana" w:cs="Verdana"/>
                <w:sz w:val="22"/>
                <w:szCs w:val="22"/>
                <w:u w:val="none"/>
                <w:lang w:val="en-US"/>
              </w:rPr>
            </w:pPr>
          </w:p>
        </w:tc>
      </w:tr>
      <w:tr w:rsidR="00635FD0" w:rsidRPr="00B14574" w14:paraId="62CA9E83" w14:textId="77777777" w:rsidTr="00C25014">
        <w:trPr>
          <w:gridBefore w:val="1"/>
          <w:wBefore w:w="214" w:type="dxa"/>
          <w:trHeight w:val="741"/>
        </w:trPr>
        <w:tc>
          <w:tcPr>
            <w:tcW w:w="10260" w:type="dxa"/>
            <w:gridSpan w:val="3"/>
            <w:tcBorders>
              <w:top w:val="nil"/>
              <w:left w:val="nil"/>
              <w:bottom w:val="nil"/>
              <w:right w:val="nil"/>
            </w:tcBorders>
          </w:tcPr>
          <w:p w14:paraId="583B6467" w14:textId="77777777" w:rsidR="00CD77ED" w:rsidRDefault="00635FD0" w:rsidP="00B32726">
            <w:pPr>
              <w:spacing w:after="0" w:line="240" w:lineRule="auto"/>
              <w:jc w:val="both"/>
              <w:rPr>
                <w:rFonts w:ascii="Verdana" w:hAnsi="Verdana" w:cs="Verdana"/>
                <w:sz w:val="18"/>
                <w:szCs w:val="18"/>
              </w:rPr>
            </w:pPr>
            <w:r w:rsidRPr="00B14574">
              <w:rPr>
                <w:rFonts w:ascii="Verdana" w:hAnsi="Verdana" w:cs="Verdana"/>
                <w:sz w:val="18"/>
                <w:szCs w:val="18"/>
              </w:rPr>
              <w:t xml:space="preserve">Each group (between </w:t>
            </w:r>
            <w:r w:rsidR="00BB61C2">
              <w:rPr>
                <w:rFonts w:ascii="Verdana" w:hAnsi="Verdana" w:cs="Verdana"/>
                <w:sz w:val="18"/>
                <w:szCs w:val="18"/>
              </w:rPr>
              <w:t>3</w:t>
            </w:r>
            <w:r w:rsidRPr="00B14574">
              <w:rPr>
                <w:rFonts w:ascii="Verdana" w:hAnsi="Verdana" w:cs="Verdana"/>
                <w:sz w:val="18"/>
                <w:szCs w:val="18"/>
              </w:rPr>
              <w:t>-5 students) will submit a final report (hard copy and electronic copy). More details about the structure, components, time and criteria for assessment of the project will be announced during the semester.</w:t>
            </w:r>
          </w:p>
          <w:p w14:paraId="7987B5D5" w14:textId="77777777" w:rsidR="00685F8E" w:rsidRDefault="00685F8E" w:rsidP="00B32726">
            <w:pPr>
              <w:spacing w:after="0" w:line="240" w:lineRule="auto"/>
              <w:jc w:val="both"/>
              <w:rPr>
                <w:rFonts w:ascii="Verdana" w:hAnsi="Verdana" w:cs="Verdana"/>
                <w:sz w:val="18"/>
                <w:szCs w:val="18"/>
              </w:rPr>
            </w:pPr>
          </w:p>
          <w:p w14:paraId="6657943A" w14:textId="77777777" w:rsidR="00685F8E" w:rsidRDefault="00685F8E" w:rsidP="00B32726">
            <w:pPr>
              <w:spacing w:after="0" w:line="240" w:lineRule="auto"/>
              <w:jc w:val="both"/>
              <w:rPr>
                <w:rFonts w:ascii="Verdana" w:hAnsi="Verdana" w:cs="Verdana"/>
                <w:sz w:val="18"/>
                <w:szCs w:val="18"/>
              </w:rPr>
            </w:pPr>
          </w:p>
          <w:p w14:paraId="48DE6BFB" w14:textId="77777777" w:rsidR="00685F8E" w:rsidRDefault="00685F8E" w:rsidP="00B32726">
            <w:pPr>
              <w:spacing w:after="0" w:line="240" w:lineRule="auto"/>
              <w:jc w:val="both"/>
              <w:rPr>
                <w:rFonts w:ascii="Verdana" w:hAnsi="Verdana" w:cs="Verdana"/>
                <w:sz w:val="18"/>
                <w:szCs w:val="18"/>
              </w:rPr>
            </w:pPr>
          </w:p>
          <w:p w14:paraId="17E16024" w14:textId="77777777" w:rsidR="00685F8E" w:rsidRDefault="00685F8E" w:rsidP="00B32726">
            <w:pPr>
              <w:spacing w:after="0" w:line="240" w:lineRule="auto"/>
              <w:jc w:val="both"/>
              <w:rPr>
                <w:rFonts w:ascii="Verdana" w:hAnsi="Verdana" w:cs="Verdana"/>
                <w:sz w:val="18"/>
                <w:szCs w:val="18"/>
              </w:rPr>
            </w:pPr>
          </w:p>
          <w:p w14:paraId="3C320465" w14:textId="77777777" w:rsidR="00685F8E" w:rsidRDefault="00685F8E" w:rsidP="00B32726">
            <w:pPr>
              <w:spacing w:after="0" w:line="240" w:lineRule="auto"/>
              <w:jc w:val="both"/>
              <w:rPr>
                <w:rFonts w:ascii="Verdana" w:hAnsi="Verdana" w:cs="Verdana"/>
                <w:sz w:val="18"/>
                <w:szCs w:val="18"/>
              </w:rPr>
            </w:pPr>
          </w:p>
          <w:p w14:paraId="65DF5CD3" w14:textId="77777777" w:rsidR="00685F8E" w:rsidRDefault="00685F8E" w:rsidP="00B32726">
            <w:pPr>
              <w:spacing w:after="0" w:line="240" w:lineRule="auto"/>
              <w:jc w:val="both"/>
              <w:rPr>
                <w:rFonts w:ascii="Verdana" w:hAnsi="Verdana" w:cs="Verdana"/>
                <w:sz w:val="18"/>
                <w:szCs w:val="18"/>
              </w:rPr>
            </w:pPr>
          </w:p>
          <w:p w14:paraId="44F8E517" w14:textId="77777777" w:rsidR="00685F8E" w:rsidRDefault="00685F8E" w:rsidP="00B32726">
            <w:pPr>
              <w:spacing w:after="0" w:line="240" w:lineRule="auto"/>
              <w:jc w:val="both"/>
              <w:rPr>
                <w:rFonts w:ascii="Verdana" w:hAnsi="Verdana" w:cs="Verdana"/>
                <w:sz w:val="18"/>
                <w:szCs w:val="18"/>
              </w:rPr>
            </w:pPr>
          </w:p>
          <w:p w14:paraId="1B79866A" w14:textId="77777777" w:rsidR="00685F8E" w:rsidRDefault="00685F8E" w:rsidP="00B32726">
            <w:pPr>
              <w:spacing w:after="0" w:line="240" w:lineRule="auto"/>
              <w:jc w:val="both"/>
              <w:rPr>
                <w:rFonts w:ascii="Verdana" w:hAnsi="Verdana" w:cs="Verdana"/>
                <w:sz w:val="18"/>
                <w:szCs w:val="18"/>
              </w:rPr>
            </w:pPr>
          </w:p>
          <w:p w14:paraId="202648EE" w14:textId="77777777" w:rsidR="00685F8E" w:rsidRDefault="00685F8E" w:rsidP="00B32726">
            <w:pPr>
              <w:spacing w:after="0" w:line="240" w:lineRule="auto"/>
              <w:jc w:val="both"/>
              <w:rPr>
                <w:rFonts w:ascii="Verdana" w:hAnsi="Verdana" w:cs="Verdana"/>
                <w:sz w:val="18"/>
                <w:szCs w:val="18"/>
              </w:rPr>
            </w:pPr>
          </w:p>
          <w:p w14:paraId="77C8A3AE" w14:textId="77777777" w:rsidR="00685F8E" w:rsidRDefault="00685F8E" w:rsidP="00B32726">
            <w:pPr>
              <w:spacing w:after="0" w:line="240" w:lineRule="auto"/>
              <w:jc w:val="both"/>
              <w:rPr>
                <w:rFonts w:ascii="Verdana" w:hAnsi="Verdana" w:cs="Verdana"/>
                <w:sz w:val="18"/>
                <w:szCs w:val="18"/>
              </w:rPr>
            </w:pPr>
          </w:p>
          <w:p w14:paraId="673C4684" w14:textId="77777777" w:rsidR="00685F8E" w:rsidRDefault="00685F8E" w:rsidP="00B32726">
            <w:pPr>
              <w:spacing w:after="0" w:line="240" w:lineRule="auto"/>
              <w:jc w:val="both"/>
              <w:rPr>
                <w:rFonts w:ascii="Verdana" w:hAnsi="Verdana" w:cs="Verdana"/>
                <w:sz w:val="18"/>
                <w:szCs w:val="18"/>
              </w:rPr>
            </w:pPr>
          </w:p>
          <w:p w14:paraId="0E6A1CFC" w14:textId="77777777" w:rsidR="00685F8E" w:rsidRDefault="00685F8E" w:rsidP="00B32726">
            <w:pPr>
              <w:spacing w:after="0" w:line="240" w:lineRule="auto"/>
              <w:jc w:val="both"/>
              <w:rPr>
                <w:rFonts w:ascii="Verdana" w:hAnsi="Verdana" w:cs="Verdana"/>
                <w:sz w:val="18"/>
                <w:szCs w:val="18"/>
              </w:rPr>
            </w:pPr>
          </w:p>
          <w:p w14:paraId="17E699A9" w14:textId="77777777" w:rsidR="00685F8E" w:rsidRDefault="00685F8E" w:rsidP="00B32726">
            <w:pPr>
              <w:spacing w:after="0" w:line="240" w:lineRule="auto"/>
              <w:jc w:val="both"/>
              <w:rPr>
                <w:rFonts w:ascii="Verdana" w:hAnsi="Verdana" w:cs="Verdana"/>
                <w:sz w:val="18"/>
                <w:szCs w:val="18"/>
              </w:rPr>
            </w:pPr>
          </w:p>
          <w:p w14:paraId="04A19F05" w14:textId="77777777" w:rsidR="00685F8E" w:rsidRDefault="00685F8E" w:rsidP="00B32726">
            <w:pPr>
              <w:spacing w:after="0" w:line="240" w:lineRule="auto"/>
              <w:jc w:val="both"/>
              <w:rPr>
                <w:rFonts w:ascii="Verdana" w:hAnsi="Verdana" w:cs="Verdana"/>
                <w:sz w:val="18"/>
                <w:szCs w:val="18"/>
              </w:rPr>
            </w:pPr>
          </w:p>
          <w:p w14:paraId="475E4640" w14:textId="77777777" w:rsidR="00685F8E" w:rsidRDefault="00685F8E" w:rsidP="00B32726">
            <w:pPr>
              <w:spacing w:after="0" w:line="240" w:lineRule="auto"/>
              <w:jc w:val="both"/>
              <w:rPr>
                <w:rFonts w:ascii="Verdana" w:hAnsi="Verdana" w:cs="Verdana"/>
                <w:sz w:val="18"/>
                <w:szCs w:val="18"/>
              </w:rPr>
            </w:pPr>
          </w:p>
          <w:p w14:paraId="06B9F160" w14:textId="77777777" w:rsidR="00685F8E" w:rsidRDefault="00685F8E" w:rsidP="00B32726">
            <w:pPr>
              <w:spacing w:after="0" w:line="240" w:lineRule="auto"/>
              <w:jc w:val="both"/>
              <w:rPr>
                <w:rFonts w:ascii="Verdana" w:hAnsi="Verdana" w:cs="Verdana"/>
                <w:sz w:val="18"/>
                <w:szCs w:val="18"/>
              </w:rPr>
            </w:pPr>
          </w:p>
          <w:p w14:paraId="266DA779" w14:textId="77777777" w:rsidR="00FE6612" w:rsidRDefault="00FE6612" w:rsidP="00B32726">
            <w:pPr>
              <w:spacing w:after="0" w:line="240" w:lineRule="auto"/>
              <w:jc w:val="both"/>
              <w:rPr>
                <w:rFonts w:ascii="Verdana" w:hAnsi="Verdana" w:cs="Verdana"/>
                <w:sz w:val="18"/>
                <w:szCs w:val="18"/>
              </w:rPr>
            </w:pPr>
          </w:p>
          <w:p w14:paraId="57BE9E41" w14:textId="77777777" w:rsidR="00685F8E" w:rsidRDefault="00685F8E" w:rsidP="00B32726">
            <w:pPr>
              <w:spacing w:after="0" w:line="240" w:lineRule="auto"/>
              <w:jc w:val="both"/>
              <w:rPr>
                <w:rFonts w:ascii="Verdana" w:hAnsi="Verdana" w:cs="Verdana"/>
                <w:sz w:val="18"/>
                <w:szCs w:val="18"/>
              </w:rPr>
            </w:pPr>
          </w:p>
          <w:p w14:paraId="46CA0086" w14:textId="77777777" w:rsidR="00685F8E" w:rsidRDefault="00685F8E" w:rsidP="00B32726">
            <w:pPr>
              <w:spacing w:after="0" w:line="240" w:lineRule="auto"/>
              <w:jc w:val="both"/>
              <w:rPr>
                <w:rFonts w:ascii="Verdana" w:hAnsi="Verdana" w:cs="Verdana"/>
                <w:sz w:val="18"/>
                <w:szCs w:val="18"/>
              </w:rPr>
            </w:pPr>
          </w:p>
          <w:p w14:paraId="4E82F782" w14:textId="77777777" w:rsidR="00685F8E" w:rsidRDefault="00685F8E" w:rsidP="00B32726">
            <w:pPr>
              <w:spacing w:after="0" w:line="240" w:lineRule="auto"/>
              <w:jc w:val="both"/>
              <w:rPr>
                <w:rFonts w:ascii="Verdana" w:hAnsi="Verdana" w:cs="Verdana"/>
                <w:sz w:val="18"/>
                <w:szCs w:val="18"/>
              </w:rPr>
            </w:pPr>
          </w:p>
          <w:p w14:paraId="115E2679" w14:textId="77777777" w:rsidR="00685F8E" w:rsidRDefault="00685F8E" w:rsidP="00B32726">
            <w:pPr>
              <w:spacing w:after="0" w:line="240" w:lineRule="auto"/>
              <w:jc w:val="both"/>
              <w:rPr>
                <w:rFonts w:ascii="Verdana" w:hAnsi="Verdana" w:cs="Verdana"/>
                <w:sz w:val="18"/>
                <w:szCs w:val="18"/>
              </w:rPr>
            </w:pPr>
          </w:p>
          <w:p w14:paraId="63F6A72D" w14:textId="77777777" w:rsidR="00685F8E" w:rsidRDefault="00685F8E" w:rsidP="00B32726">
            <w:pPr>
              <w:spacing w:after="0" w:line="240" w:lineRule="auto"/>
              <w:jc w:val="both"/>
              <w:rPr>
                <w:rFonts w:ascii="Verdana" w:hAnsi="Verdana" w:cs="Verdana"/>
                <w:sz w:val="18"/>
                <w:szCs w:val="18"/>
              </w:rPr>
            </w:pPr>
          </w:p>
          <w:p w14:paraId="08786489" w14:textId="77777777" w:rsidR="00685F8E" w:rsidRDefault="00685F8E" w:rsidP="00B32726">
            <w:pPr>
              <w:spacing w:after="0" w:line="240" w:lineRule="auto"/>
              <w:jc w:val="both"/>
              <w:rPr>
                <w:rFonts w:ascii="Verdana" w:hAnsi="Verdana" w:cs="Verdana"/>
                <w:sz w:val="18"/>
                <w:szCs w:val="18"/>
              </w:rPr>
            </w:pPr>
          </w:p>
          <w:p w14:paraId="0DB58090" w14:textId="77777777" w:rsidR="00685F8E" w:rsidRDefault="00685F8E" w:rsidP="00B32726">
            <w:pPr>
              <w:spacing w:after="0" w:line="240" w:lineRule="auto"/>
              <w:jc w:val="both"/>
              <w:rPr>
                <w:rFonts w:ascii="Verdana" w:hAnsi="Verdana" w:cs="Verdana"/>
                <w:sz w:val="18"/>
                <w:szCs w:val="18"/>
              </w:rPr>
            </w:pPr>
          </w:p>
          <w:p w14:paraId="0711CEE9" w14:textId="77777777" w:rsidR="00685F8E" w:rsidRDefault="00685F8E" w:rsidP="00B32726">
            <w:pPr>
              <w:spacing w:after="0" w:line="240" w:lineRule="auto"/>
              <w:jc w:val="both"/>
              <w:rPr>
                <w:rFonts w:ascii="Verdana" w:hAnsi="Verdana" w:cs="Verdana"/>
                <w:sz w:val="18"/>
                <w:szCs w:val="18"/>
              </w:rPr>
            </w:pPr>
          </w:p>
          <w:p w14:paraId="513B75C5" w14:textId="77777777" w:rsidR="00685F8E" w:rsidRDefault="00685F8E" w:rsidP="00B32726">
            <w:pPr>
              <w:spacing w:after="0" w:line="240" w:lineRule="auto"/>
              <w:jc w:val="both"/>
              <w:rPr>
                <w:rFonts w:ascii="Verdana" w:hAnsi="Verdana" w:cs="Verdana"/>
                <w:sz w:val="18"/>
                <w:szCs w:val="18"/>
              </w:rPr>
            </w:pPr>
          </w:p>
          <w:p w14:paraId="7121D816" w14:textId="77777777" w:rsidR="00685F8E" w:rsidRDefault="00685F8E" w:rsidP="00B32726">
            <w:pPr>
              <w:spacing w:after="0" w:line="240" w:lineRule="auto"/>
              <w:jc w:val="both"/>
              <w:rPr>
                <w:rFonts w:ascii="Verdana" w:hAnsi="Verdana" w:cs="Verdana"/>
                <w:sz w:val="18"/>
                <w:szCs w:val="18"/>
              </w:rPr>
            </w:pPr>
          </w:p>
          <w:p w14:paraId="3A6BB5CF" w14:textId="77777777" w:rsidR="00685F8E" w:rsidRDefault="00685F8E" w:rsidP="00B32726">
            <w:pPr>
              <w:spacing w:after="0" w:line="240" w:lineRule="auto"/>
              <w:jc w:val="both"/>
              <w:rPr>
                <w:rFonts w:ascii="Verdana" w:hAnsi="Verdana" w:cs="Verdana"/>
                <w:sz w:val="18"/>
                <w:szCs w:val="18"/>
              </w:rPr>
            </w:pPr>
          </w:p>
          <w:p w14:paraId="512A9CBE" w14:textId="77777777" w:rsidR="00685F8E" w:rsidRDefault="00685F8E" w:rsidP="00B32726">
            <w:pPr>
              <w:spacing w:after="0" w:line="240" w:lineRule="auto"/>
              <w:jc w:val="both"/>
              <w:rPr>
                <w:rFonts w:ascii="Verdana" w:hAnsi="Verdana" w:cs="Verdana"/>
                <w:sz w:val="18"/>
                <w:szCs w:val="18"/>
              </w:rPr>
            </w:pPr>
          </w:p>
          <w:p w14:paraId="6ACBF6FE" w14:textId="77777777" w:rsidR="002D4FD4" w:rsidRDefault="002D4FD4" w:rsidP="00B32726">
            <w:pPr>
              <w:spacing w:after="0" w:line="240" w:lineRule="auto"/>
              <w:jc w:val="both"/>
              <w:rPr>
                <w:rFonts w:ascii="Verdana" w:hAnsi="Verdana" w:cs="Verdana"/>
                <w:sz w:val="18"/>
                <w:szCs w:val="18"/>
              </w:rPr>
            </w:pPr>
          </w:p>
          <w:p w14:paraId="2DCF638A" w14:textId="77777777" w:rsidR="002D4FD4" w:rsidRDefault="002D4FD4" w:rsidP="00B32726">
            <w:pPr>
              <w:spacing w:after="0" w:line="240" w:lineRule="auto"/>
              <w:jc w:val="both"/>
              <w:rPr>
                <w:rFonts w:ascii="Verdana" w:hAnsi="Verdana" w:cs="Verdana"/>
                <w:sz w:val="18"/>
                <w:szCs w:val="18"/>
              </w:rPr>
            </w:pPr>
          </w:p>
          <w:p w14:paraId="082A62F4" w14:textId="77777777" w:rsidR="002D4FD4" w:rsidRDefault="002D4FD4" w:rsidP="00B32726">
            <w:pPr>
              <w:spacing w:after="0" w:line="240" w:lineRule="auto"/>
              <w:jc w:val="both"/>
              <w:rPr>
                <w:rFonts w:ascii="Verdana" w:hAnsi="Verdana" w:cs="Verdana"/>
                <w:sz w:val="18"/>
                <w:szCs w:val="18"/>
              </w:rPr>
            </w:pPr>
          </w:p>
          <w:p w14:paraId="5D22D87F" w14:textId="77777777" w:rsidR="002D4FD4" w:rsidRDefault="002D4FD4" w:rsidP="00B32726">
            <w:pPr>
              <w:spacing w:after="0" w:line="240" w:lineRule="auto"/>
              <w:jc w:val="both"/>
              <w:rPr>
                <w:rFonts w:ascii="Verdana" w:hAnsi="Verdana" w:cs="Verdana"/>
                <w:sz w:val="18"/>
                <w:szCs w:val="18"/>
              </w:rPr>
            </w:pPr>
          </w:p>
          <w:p w14:paraId="1CD86046" w14:textId="77777777" w:rsidR="002D4FD4" w:rsidRDefault="002D4FD4" w:rsidP="00B32726">
            <w:pPr>
              <w:spacing w:after="0" w:line="240" w:lineRule="auto"/>
              <w:jc w:val="both"/>
              <w:rPr>
                <w:rFonts w:ascii="Verdana" w:hAnsi="Verdana" w:cs="Verdana"/>
                <w:sz w:val="18"/>
                <w:szCs w:val="18"/>
              </w:rPr>
            </w:pPr>
          </w:p>
          <w:p w14:paraId="33F212A1" w14:textId="77777777" w:rsidR="00685F8E" w:rsidRDefault="00685F8E" w:rsidP="00B32726">
            <w:pPr>
              <w:spacing w:after="0" w:line="240" w:lineRule="auto"/>
              <w:jc w:val="both"/>
              <w:rPr>
                <w:rFonts w:ascii="Verdana" w:hAnsi="Verdana" w:cs="Verdana"/>
                <w:sz w:val="18"/>
                <w:szCs w:val="18"/>
              </w:rPr>
            </w:pPr>
          </w:p>
          <w:p w14:paraId="68C182FA" w14:textId="77777777" w:rsidR="00685F8E" w:rsidRPr="00B14574" w:rsidRDefault="00685F8E" w:rsidP="00B32726">
            <w:pPr>
              <w:spacing w:after="0" w:line="240" w:lineRule="auto"/>
              <w:jc w:val="both"/>
              <w:rPr>
                <w:rFonts w:ascii="Verdana" w:hAnsi="Verdana" w:cs="Verdana"/>
                <w:sz w:val="18"/>
                <w:szCs w:val="18"/>
              </w:rPr>
            </w:pPr>
          </w:p>
        </w:tc>
      </w:tr>
      <w:tr w:rsidR="00635FD0" w:rsidRPr="00B14574" w14:paraId="5734CD97" w14:textId="77777777" w:rsidTr="00C25014">
        <w:trPr>
          <w:gridBefore w:val="1"/>
          <w:wBefore w:w="214" w:type="dxa"/>
          <w:trHeight w:val="96"/>
        </w:trPr>
        <w:tc>
          <w:tcPr>
            <w:tcW w:w="10260" w:type="dxa"/>
            <w:gridSpan w:val="3"/>
            <w:tcBorders>
              <w:left w:val="nil"/>
              <w:right w:val="nil"/>
            </w:tcBorders>
            <w:shd w:val="clear" w:color="auto" w:fill="D9D9D9"/>
          </w:tcPr>
          <w:p w14:paraId="123004CC" w14:textId="77777777" w:rsidR="00635FD0" w:rsidRPr="00B14574" w:rsidRDefault="00635FD0" w:rsidP="00B32726">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lastRenderedPageBreak/>
              <w:t>Exams &amp; Make Up Policy</w:t>
            </w:r>
          </w:p>
        </w:tc>
      </w:tr>
      <w:tr w:rsidR="00635FD0" w:rsidRPr="00B14574" w14:paraId="75E2790C" w14:textId="77777777" w:rsidTr="00C25014">
        <w:tblPrEx>
          <w:tblBorders>
            <w:left w:val="none" w:sz="0" w:space="0" w:color="auto"/>
            <w:bottom w:val="none" w:sz="0" w:space="0" w:color="auto"/>
            <w:right w:val="none" w:sz="0" w:space="0" w:color="auto"/>
          </w:tblBorders>
        </w:tblPrEx>
        <w:trPr>
          <w:gridBefore w:val="1"/>
          <w:wBefore w:w="214" w:type="dxa"/>
          <w:trHeight w:val="741"/>
        </w:trPr>
        <w:tc>
          <w:tcPr>
            <w:tcW w:w="10260" w:type="dxa"/>
            <w:gridSpan w:val="3"/>
            <w:tcBorders>
              <w:right w:val="nil"/>
            </w:tcBorders>
          </w:tcPr>
          <w:p w14:paraId="1FBFFEA3" w14:textId="77777777" w:rsidR="002347D6" w:rsidRDefault="00635FD0" w:rsidP="006365B9">
            <w:pPr>
              <w:spacing w:after="0" w:line="240" w:lineRule="auto"/>
              <w:jc w:val="both"/>
            </w:pPr>
            <w:r w:rsidRPr="00B14574">
              <w:rPr>
                <w:rFonts w:ascii="Verdana" w:hAnsi="Verdana" w:cs="Verdana"/>
                <w:sz w:val="18"/>
                <w:szCs w:val="18"/>
              </w:rPr>
              <w:t xml:space="preserve">In order to complete the course, students must submit all the required assignments and sit for the exams. </w:t>
            </w:r>
            <w:r w:rsidR="006B446C" w:rsidRPr="00206529">
              <w:t>You are expected to attend all quizzes</w:t>
            </w:r>
            <w:r w:rsidR="006365B9">
              <w:t>.</w:t>
            </w:r>
            <w:r w:rsidR="006B446C" w:rsidRPr="00206529">
              <w:t xml:space="preserve"> There is </w:t>
            </w:r>
            <w:r w:rsidR="006B446C" w:rsidRPr="00BE3F2C">
              <w:rPr>
                <w:b/>
                <w:u w:val="single"/>
              </w:rPr>
              <w:t xml:space="preserve">no provision for makeup </w:t>
            </w:r>
            <w:proofErr w:type="spellStart"/>
            <w:r w:rsidR="006B446C" w:rsidRPr="00BE3F2C">
              <w:rPr>
                <w:b/>
                <w:u w:val="single"/>
              </w:rPr>
              <w:t>quizzes</w:t>
            </w:r>
            <w:r w:rsidR="006B446C" w:rsidRPr="00206529">
              <w:t>.</w:t>
            </w:r>
            <w:r w:rsidRPr="00BD7C79">
              <w:rPr>
                <w:rFonts w:ascii="Verdana" w:hAnsi="Verdana" w:cs="Verdana"/>
                <w:b/>
                <w:sz w:val="18"/>
                <w:szCs w:val="18"/>
                <w:u w:val="single"/>
              </w:rPr>
              <w:t>Make</w:t>
            </w:r>
            <w:proofErr w:type="spellEnd"/>
            <w:r w:rsidRPr="00BD7C79">
              <w:rPr>
                <w:rFonts w:ascii="Verdana" w:hAnsi="Verdana" w:cs="Verdana"/>
                <w:b/>
                <w:sz w:val="18"/>
                <w:szCs w:val="18"/>
                <w:u w:val="single"/>
              </w:rPr>
              <w:t>-up exams</w:t>
            </w:r>
            <w:r w:rsidRPr="00B14574">
              <w:rPr>
                <w:rFonts w:ascii="Verdana" w:hAnsi="Verdana" w:cs="Verdana"/>
                <w:sz w:val="18"/>
                <w:szCs w:val="18"/>
              </w:rPr>
              <w:t xml:space="preserve"> are </w:t>
            </w:r>
            <w:r w:rsidR="00DA709B">
              <w:rPr>
                <w:rFonts w:ascii="Verdana" w:hAnsi="Verdana" w:cs="Verdana"/>
                <w:b/>
                <w:sz w:val="18"/>
                <w:szCs w:val="18"/>
                <w:u w:val="single"/>
              </w:rPr>
              <w:t>NOT ALLOWED</w:t>
            </w:r>
            <w:r w:rsidRPr="00B14574">
              <w:rPr>
                <w:rFonts w:ascii="Verdana" w:hAnsi="Verdana" w:cs="Verdana"/>
                <w:sz w:val="18"/>
                <w:szCs w:val="18"/>
              </w:rPr>
              <w:t xml:space="preserve"> unless there is a major circumstance preventing the student from sitting in the </w:t>
            </w:r>
            <w:r w:rsidR="00BD7C79">
              <w:rPr>
                <w:rFonts w:ascii="Verdana" w:hAnsi="Verdana" w:cs="Verdana"/>
                <w:sz w:val="18"/>
                <w:szCs w:val="18"/>
              </w:rPr>
              <w:t xml:space="preserve">regular </w:t>
            </w:r>
            <w:r w:rsidRPr="00B14574">
              <w:rPr>
                <w:rFonts w:ascii="Verdana" w:hAnsi="Verdana" w:cs="Verdana"/>
                <w:sz w:val="18"/>
                <w:szCs w:val="18"/>
              </w:rPr>
              <w:t>exam (official material evidence is required).</w:t>
            </w:r>
            <w:r w:rsidR="00685647" w:rsidRPr="00685647">
              <w:rPr>
                <w:rFonts w:ascii="Verdana" w:hAnsi="Verdana" w:cs="Verdana"/>
                <w:sz w:val="18"/>
                <w:szCs w:val="18"/>
              </w:rPr>
              <w:t xml:space="preserve">The make-up exam will be held at the end of the semester and will have a </w:t>
            </w:r>
            <w:r w:rsidR="00123E29" w:rsidRPr="00123E29">
              <w:rPr>
                <w:rFonts w:ascii="Verdana" w:hAnsi="Verdana" w:cs="Verdana"/>
                <w:b/>
                <w:sz w:val="18"/>
                <w:szCs w:val="18"/>
                <w:u w:val="single"/>
              </w:rPr>
              <w:t>COMPREHENSIVE</w:t>
            </w:r>
            <w:r w:rsidR="00685647" w:rsidRPr="00685647">
              <w:rPr>
                <w:rFonts w:ascii="Verdana" w:hAnsi="Verdana" w:cs="Verdana"/>
                <w:sz w:val="18"/>
                <w:szCs w:val="18"/>
              </w:rPr>
              <w:t xml:space="preserve"> syllabus</w:t>
            </w:r>
            <w:r w:rsidR="00DD1012">
              <w:rPr>
                <w:rFonts w:ascii="Verdana" w:hAnsi="Verdana" w:cs="Verdana"/>
                <w:sz w:val="18"/>
                <w:szCs w:val="18"/>
              </w:rPr>
              <w:t xml:space="preserve"> comprising </w:t>
            </w:r>
            <w:r w:rsidR="00123E29">
              <w:rPr>
                <w:rFonts w:ascii="Verdana" w:hAnsi="Verdana" w:cs="Verdana"/>
                <w:sz w:val="18"/>
                <w:szCs w:val="18"/>
              </w:rPr>
              <w:t xml:space="preserve">BOTH </w:t>
            </w:r>
            <w:r w:rsidR="00BB61C2">
              <w:rPr>
                <w:rFonts w:ascii="Verdana" w:hAnsi="Verdana" w:cs="Verdana"/>
                <w:sz w:val="18"/>
                <w:szCs w:val="18"/>
              </w:rPr>
              <w:t>Midterm#1 and Midterm#2</w:t>
            </w:r>
            <w:r w:rsidR="00DD1012">
              <w:rPr>
                <w:rFonts w:ascii="Verdana" w:hAnsi="Verdana" w:cs="Verdana"/>
                <w:sz w:val="18"/>
                <w:szCs w:val="18"/>
              </w:rPr>
              <w:t>topics</w:t>
            </w:r>
            <w:r w:rsidR="00BB61C2">
              <w:rPr>
                <w:rFonts w:ascii="Verdana" w:hAnsi="Verdana" w:cs="Verdana"/>
                <w:sz w:val="18"/>
                <w:szCs w:val="18"/>
              </w:rPr>
              <w:t xml:space="preserve"> and the timing of the make</w:t>
            </w:r>
            <w:r w:rsidR="00BB61C2" w:rsidRPr="00B14574">
              <w:rPr>
                <w:rFonts w:ascii="Verdana" w:hAnsi="Verdana" w:cs="Verdana"/>
                <w:sz w:val="18"/>
                <w:szCs w:val="18"/>
              </w:rPr>
              <w:t xml:space="preserve">up </w:t>
            </w:r>
            <w:r w:rsidR="00DA709B">
              <w:rPr>
                <w:rFonts w:ascii="Verdana" w:hAnsi="Verdana" w:cs="Verdana"/>
                <w:sz w:val="18"/>
                <w:szCs w:val="18"/>
              </w:rPr>
              <w:t>will</w:t>
            </w:r>
            <w:r w:rsidR="00BB61C2" w:rsidRPr="00B14574">
              <w:rPr>
                <w:rFonts w:ascii="Verdana" w:hAnsi="Verdana" w:cs="Verdana"/>
                <w:sz w:val="18"/>
                <w:szCs w:val="18"/>
              </w:rPr>
              <w:t xml:space="preserve"> be fixed </w:t>
            </w:r>
            <w:r w:rsidR="00BD7C79">
              <w:rPr>
                <w:rFonts w:ascii="Verdana" w:hAnsi="Verdana" w:cs="Verdana"/>
                <w:sz w:val="18"/>
                <w:szCs w:val="18"/>
              </w:rPr>
              <w:t>by</w:t>
            </w:r>
            <w:r w:rsidR="00123E29">
              <w:rPr>
                <w:rFonts w:ascii="Verdana" w:hAnsi="Verdana" w:cs="Verdana"/>
                <w:sz w:val="18"/>
                <w:szCs w:val="18"/>
              </w:rPr>
              <w:t xml:space="preserve"> the instructor of the </w:t>
            </w:r>
            <w:proofErr w:type="spellStart"/>
            <w:r w:rsidR="00123E29">
              <w:rPr>
                <w:rFonts w:ascii="Verdana" w:hAnsi="Verdana" w:cs="Verdana"/>
                <w:sz w:val="18"/>
                <w:szCs w:val="18"/>
              </w:rPr>
              <w:t>course</w:t>
            </w:r>
            <w:r w:rsidR="00BB61C2" w:rsidRPr="00B14574">
              <w:rPr>
                <w:rFonts w:ascii="Verdana" w:hAnsi="Verdana" w:cs="Verdana"/>
                <w:sz w:val="18"/>
                <w:szCs w:val="18"/>
              </w:rPr>
              <w:t>.</w:t>
            </w:r>
            <w:r w:rsidR="002347D6" w:rsidRPr="002347D6">
              <w:rPr>
                <w:b/>
                <w:u w:val="single"/>
              </w:rPr>
              <w:t>Caution</w:t>
            </w:r>
            <w:proofErr w:type="spellEnd"/>
            <w:r w:rsidR="002347D6">
              <w:t>:</w:t>
            </w:r>
            <w:r w:rsidR="002347D6" w:rsidRPr="00206529">
              <w:t xml:space="preserve"> the </w:t>
            </w:r>
            <w:r w:rsidR="002347D6">
              <w:rPr>
                <w:u w:val="single"/>
              </w:rPr>
              <w:t>comprehensive exam</w:t>
            </w:r>
            <w:r w:rsidR="002347D6" w:rsidRPr="00206529">
              <w:rPr>
                <w:u w:val="single"/>
              </w:rPr>
              <w:t xml:space="preserve"> will be significantly harder</w:t>
            </w:r>
            <w:r w:rsidR="002347D6">
              <w:t xml:space="preserve"> than the regular exams!</w:t>
            </w:r>
          </w:p>
          <w:p w14:paraId="23987275" w14:textId="77777777" w:rsidR="00635FD0" w:rsidRDefault="00635FD0" w:rsidP="00B32726">
            <w:pPr>
              <w:numPr>
                <w:ilvl w:val="0"/>
                <w:numId w:val="47"/>
              </w:numPr>
              <w:spacing w:after="0" w:line="240" w:lineRule="auto"/>
              <w:jc w:val="both"/>
              <w:rPr>
                <w:rFonts w:ascii="Verdana" w:hAnsi="Verdana" w:cs="Verdana"/>
                <w:b/>
                <w:bCs/>
                <w:sz w:val="18"/>
                <w:szCs w:val="18"/>
              </w:rPr>
            </w:pPr>
            <w:r w:rsidRPr="004F34ED">
              <w:rPr>
                <w:rFonts w:ascii="Verdana" w:hAnsi="Verdana" w:cs="Verdana"/>
                <w:b/>
                <w:bCs/>
                <w:sz w:val="18"/>
                <w:szCs w:val="18"/>
              </w:rPr>
              <w:t>Cell phones a</w:t>
            </w:r>
            <w:r w:rsidR="000E2302">
              <w:rPr>
                <w:rFonts w:ascii="Verdana" w:hAnsi="Verdana" w:cs="Verdana"/>
                <w:b/>
                <w:bCs/>
                <w:sz w:val="18"/>
                <w:szCs w:val="18"/>
              </w:rPr>
              <w:t>re prohibited in exam sessions.</w:t>
            </w:r>
          </w:p>
          <w:p w14:paraId="2A6BB1AC" w14:textId="77777777" w:rsidR="000E2302" w:rsidRPr="004F34ED" w:rsidRDefault="000E2302" w:rsidP="00B32726">
            <w:pPr>
              <w:numPr>
                <w:ilvl w:val="0"/>
                <w:numId w:val="47"/>
              </w:numPr>
              <w:spacing w:after="0" w:line="240" w:lineRule="auto"/>
              <w:jc w:val="both"/>
              <w:rPr>
                <w:rFonts w:ascii="Verdana" w:hAnsi="Verdana" w:cs="Verdana"/>
                <w:b/>
                <w:bCs/>
                <w:sz w:val="18"/>
                <w:szCs w:val="18"/>
              </w:rPr>
            </w:pPr>
            <w:r>
              <w:rPr>
                <w:rFonts w:ascii="Verdana" w:hAnsi="Verdana" w:cs="Verdana"/>
                <w:b/>
                <w:bCs/>
                <w:sz w:val="18"/>
                <w:szCs w:val="18"/>
              </w:rPr>
              <w:t>All the resources along with bags/purses/handbags must be kept at the front of the class during exam.</w:t>
            </w:r>
          </w:p>
          <w:p w14:paraId="008BCBAF" w14:textId="77777777" w:rsidR="0001181D" w:rsidRPr="00C25014" w:rsidRDefault="004F34ED" w:rsidP="0001181D">
            <w:pPr>
              <w:numPr>
                <w:ilvl w:val="0"/>
                <w:numId w:val="47"/>
              </w:numPr>
              <w:spacing w:after="0" w:line="240" w:lineRule="auto"/>
              <w:jc w:val="both"/>
              <w:rPr>
                <w:rFonts w:ascii="Verdana" w:hAnsi="Verdana" w:cs="Verdana"/>
                <w:sz w:val="16"/>
                <w:szCs w:val="16"/>
              </w:rPr>
            </w:pPr>
            <w:r w:rsidRPr="00E932F7">
              <w:rPr>
                <w:rFonts w:ascii="Verdana" w:hAnsi="Verdana" w:cs="Verdana"/>
                <w:b/>
                <w:bCs/>
                <w:sz w:val="18"/>
                <w:szCs w:val="18"/>
                <w:u w:val="single"/>
              </w:rPr>
              <w:t>Student MUST bring their own calculators during exam</w:t>
            </w:r>
            <w:r w:rsidRPr="004F34ED">
              <w:rPr>
                <w:rFonts w:ascii="Verdana" w:hAnsi="Verdana" w:cs="Verdana"/>
                <w:b/>
                <w:bCs/>
                <w:sz w:val="18"/>
                <w:szCs w:val="18"/>
              </w:rPr>
              <w:t xml:space="preserve">. Use of </w:t>
            </w:r>
            <w:r w:rsidR="000E2302">
              <w:rPr>
                <w:rFonts w:ascii="Verdana" w:hAnsi="Verdana" w:cs="Verdana"/>
                <w:b/>
                <w:bCs/>
                <w:sz w:val="18"/>
                <w:szCs w:val="18"/>
              </w:rPr>
              <w:t>others calculator/m</w:t>
            </w:r>
            <w:r w:rsidRPr="004F34ED">
              <w:rPr>
                <w:rFonts w:ascii="Verdana" w:hAnsi="Verdana" w:cs="Verdana"/>
                <w:b/>
                <w:bCs/>
                <w:sz w:val="18"/>
                <w:szCs w:val="18"/>
              </w:rPr>
              <w:t>obile phones as calculators will not be allowed</w:t>
            </w:r>
            <w:r w:rsidR="00DD1012">
              <w:rPr>
                <w:rFonts w:ascii="Verdana" w:hAnsi="Verdana" w:cs="Verdana"/>
                <w:b/>
                <w:bCs/>
                <w:sz w:val="18"/>
                <w:szCs w:val="18"/>
              </w:rPr>
              <w:t xml:space="preserve"> at any circumstances</w:t>
            </w:r>
            <w:r w:rsidRPr="004F34ED">
              <w:rPr>
                <w:rFonts w:ascii="Verdana" w:hAnsi="Verdana" w:cs="Verdana"/>
                <w:b/>
                <w:bCs/>
                <w:sz w:val="18"/>
                <w:szCs w:val="18"/>
              </w:rPr>
              <w:t>.</w:t>
            </w:r>
          </w:p>
          <w:p w14:paraId="0E11B4E5" w14:textId="77777777" w:rsidR="00C25014" w:rsidRDefault="00C25014" w:rsidP="00C25014">
            <w:pPr>
              <w:spacing w:after="0" w:line="240" w:lineRule="auto"/>
              <w:jc w:val="both"/>
              <w:rPr>
                <w:rFonts w:ascii="Verdana" w:hAnsi="Verdana" w:cs="Verdana"/>
                <w:sz w:val="16"/>
                <w:szCs w:val="16"/>
              </w:rPr>
            </w:pPr>
          </w:p>
          <w:tbl>
            <w:tblPr>
              <w:tblpPr w:leftFromText="180" w:rightFromText="180" w:vertAnchor="page" w:horzAnchor="margin" w:tblpY="3370"/>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920"/>
            </w:tblGrid>
            <w:tr w:rsidR="00B32726" w:rsidRPr="00DD1012" w14:paraId="60E216AE" w14:textId="77777777" w:rsidTr="002D4FD4">
              <w:trPr>
                <w:trHeight w:val="300"/>
              </w:trPr>
              <w:tc>
                <w:tcPr>
                  <w:tcW w:w="9625" w:type="dxa"/>
                  <w:gridSpan w:val="2"/>
                  <w:shd w:val="clear" w:color="auto" w:fill="DDD9C3" w:themeFill="background2" w:themeFillShade="E6"/>
                  <w:noWrap/>
                  <w:vAlign w:val="bottom"/>
                  <w:hideMark/>
                </w:tcPr>
                <w:p w14:paraId="58557122" w14:textId="77777777" w:rsidR="00B32726" w:rsidRPr="00DD1012" w:rsidRDefault="00C25014" w:rsidP="00C25014">
                  <w:pPr>
                    <w:spacing w:after="0" w:line="240" w:lineRule="auto"/>
                    <w:rPr>
                      <w:rFonts w:ascii="Verdana" w:hAnsi="Verdana" w:cs="Verdana"/>
                      <w:b/>
                      <w:bCs/>
                      <w:sz w:val="18"/>
                      <w:szCs w:val="18"/>
                      <w:u w:val="single"/>
                      <w:lang w:val="en-GB"/>
                    </w:rPr>
                  </w:pPr>
                  <w:r>
                    <w:rPr>
                      <w:rFonts w:ascii="Verdana" w:hAnsi="Verdana" w:cs="Verdana"/>
                      <w:b/>
                      <w:bCs/>
                      <w:sz w:val="18"/>
                      <w:szCs w:val="18"/>
                      <w:lang w:val="en-GB"/>
                    </w:rPr>
                    <w:t>Course</w:t>
                  </w:r>
                  <w:r w:rsidR="00B32726" w:rsidRPr="00DD1012">
                    <w:rPr>
                      <w:rFonts w:ascii="Verdana" w:hAnsi="Verdana" w:cs="Verdana"/>
                      <w:b/>
                      <w:bCs/>
                      <w:sz w:val="18"/>
                      <w:szCs w:val="18"/>
                      <w:lang w:val="en-GB"/>
                    </w:rPr>
                    <w:t xml:space="preserve"> Syllabus</w:t>
                  </w:r>
                </w:p>
              </w:tc>
            </w:tr>
            <w:tr w:rsidR="002D4FD4" w:rsidRPr="00DD1012" w14:paraId="6C6FEC11" w14:textId="77777777" w:rsidTr="002D4FD4">
              <w:trPr>
                <w:trHeight w:val="300"/>
              </w:trPr>
              <w:tc>
                <w:tcPr>
                  <w:tcW w:w="1705" w:type="dxa"/>
                  <w:vMerge w:val="restart"/>
                  <w:shd w:val="clear" w:color="auto" w:fill="auto"/>
                  <w:noWrap/>
                  <w:vAlign w:val="bottom"/>
                  <w:hideMark/>
                </w:tcPr>
                <w:p w14:paraId="5C8CF3F7" w14:textId="77777777" w:rsidR="002D4FD4" w:rsidRPr="00DD1012" w:rsidRDefault="002D4FD4" w:rsidP="00B32726">
                  <w:pPr>
                    <w:spacing w:after="0" w:line="240" w:lineRule="auto"/>
                    <w:rPr>
                      <w:rFonts w:ascii="Verdana" w:hAnsi="Verdana" w:cs="Verdana"/>
                      <w:b/>
                      <w:bCs/>
                      <w:sz w:val="18"/>
                      <w:szCs w:val="18"/>
                    </w:rPr>
                  </w:pPr>
                  <w:r w:rsidRPr="00DD1012">
                    <w:rPr>
                      <w:rFonts w:ascii="Verdana" w:hAnsi="Verdana" w:cs="Verdana"/>
                      <w:b/>
                      <w:bCs/>
                      <w:sz w:val="18"/>
                      <w:szCs w:val="18"/>
                    </w:rPr>
                    <w:t>Week 1</w:t>
                  </w:r>
                  <w:r>
                    <w:rPr>
                      <w:rFonts w:ascii="Verdana" w:hAnsi="Verdana" w:cs="Verdana"/>
                      <w:b/>
                      <w:bCs/>
                      <w:sz w:val="18"/>
                      <w:szCs w:val="18"/>
                    </w:rPr>
                    <w:t xml:space="preserve"> &amp; 2</w:t>
                  </w:r>
                </w:p>
              </w:tc>
              <w:tc>
                <w:tcPr>
                  <w:tcW w:w="7920" w:type="dxa"/>
                  <w:shd w:val="clear" w:color="auto" w:fill="auto"/>
                  <w:noWrap/>
                  <w:vAlign w:val="bottom"/>
                  <w:hideMark/>
                </w:tcPr>
                <w:p w14:paraId="26783402"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 xml:space="preserve">Class Introduction, Overview of the Course Syllabus  and Chapter 1: Introduction to Corporate Finance </w:t>
                  </w:r>
                </w:p>
              </w:tc>
            </w:tr>
            <w:tr w:rsidR="002D4FD4" w:rsidRPr="00DD1012" w14:paraId="3FD115C7" w14:textId="77777777" w:rsidTr="002D4FD4">
              <w:trPr>
                <w:trHeight w:val="300"/>
              </w:trPr>
              <w:tc>
                <w:tcPr>
                  <w:tcW w:w="1705" w:type="dxa"/>
                  <w:vMerge/>
                  <w:vAlign w:val="center"/>
                  <w:hideMark/>
                </w:tcPr>
                <w:p w14:paraId="1CC042FC"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16D68C4D"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Brief review of the contents of FIN 254 and Chapter 2: Financial Statements, Taxes and Cash Flow</w:t>
                  </w:r>
                </w:p>
              </w:tc>
            </w:tr>
            <w:tr w:rsidR="002D4FD4" w:rsidRPr="00DD1012" w14:paraId="2D5238EA" w14:textId="77777777" w:rsidTr="002D4FD4">
              <w:trPr>
                <w:trHeight w:val="300"/>
              </w:trPr>
              <w:tc>
                <w:tcPr>
                  <w:tcW w:w="1705" w:type="dxa"/>
                  <w:vMerge w:val="restart"/>
                  <w:shd w:val="clear" w:color="auto" w:fill="auto"/>
                  <w:noWrap/>
                  <w:vAlign w:val="bottom"/>
                  <w:hideMark/>
                </w:tcPr>
                <w:p w14:paraId="533D48C9" w14:textId="77777777" w:rsidR="002D4FD4" w:rsidRPr="00DD1012" w:rsidRDefault="002D4FD4" w:rsidP="00B32726">
                  <w:pPr>
                    <w:spacing w:after="0" w:line="240" w:lineRule="auto"/>
                    <w:rPr>
                      <w:rFonts w:ascii="Verdana" w:hAnsi="Verdana" w:cs="Verdana"/>
                      <w:b/>
                      <w:bCs/>
                      <w:sz w:val="18"/>
                      <w:szCs w:val="18"/>
                    </w:rPr>
                  </w:pPr>
                  <w:r w:rsidRPr="00DD1012">
                    <w:rPr>
                      <w:rFonts w:ascii="Verdana" w:hAnsi="Verdana" w:cs="Verdana"/>
                      <w:b/>
                      <w:bCs/>
                      <w:sz w:val="18"/>
                      <w:szCs w:val="18"/>
                    </w:rPr>
                    <w:t xml:space="preserve">Week </w:t>
                  </w:r>
                  <w:r>
                    <w:rPr>
                      <w:rFonts w:ascii="Verdana" w:hAnsi="Verdana" w:cs="Verdana"/>
                      <w:b/>
                      <w:bCs/>
                      <w:sz w:val="18"/>
                      <w:szCs w:val="18"/>
                    </w:rPr>
                    <w:t>3 &amp; 4</w:t>
                  </w:r>
                </w:p>
              </w:tc>
              <w:tc>
                <w:tcPr>
                  <w:tcW w:w="7920" w:type="dxa"/>
                  <w:shd w:val="clear" w:color="auto" w:fill="auto"/>
                  <w:noWrap/>
                  <w:vAlign w:val="bottom"/>
                  <w:hideMark/>
                </w:tcPr>
                <w:p w14:paraId="711E2A86"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3: Working with Financial Statements</w:t>
                  </w:r>
                </w:p>
              </w:tc>
            </w:tr>
            <w:tr w:rsidR="002D4FD4" w:rsidRPr="00DD1012" w14:paraId="07F896CD" w14:textId="77777777" w:rsidTr="002D4FD4">
              <w:trPr>
                <w:trHeight w:val="300"/>
              </w:trPr>
              <w:tc>
                <w:tcPr>
                  <w:tcW w:w="1705" w:type="dxa"/>
                  <w:vMerge/>
                  <w:vAlign w:val="center"/>
                  <w:hideMark/>
                </w:tcPr>
                <w:p w14:paraId="465E2194"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243B09ED"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3: Working with Financial Statements</w:t>
                  </w:r>
                </w:p>
              </w:tc>
            </w:tr>
            <w:tr w:rsidR="002D4FD4" w:rsidRPr="00DD1012" w14:paraId="32D92971" w14:textId="77777777" w:rsidTr="002D4FD4">
              <w:trPr>
                <w:trHeight w:val="300"/>
              </w:trPr>
              <w:tc>
                <w:tcPr>
                  <w:tcW w:w="1705" w:type="dxa"/>
                  <w:vMerge w:val="restart"/>
                  <w:shd w:val="clear" w:color="auto" w:fill="auto"/>
                  <w:noWrap/>
                  <w:vAlign w:val="bottom"/>
                  <w:hideMark/>
                </w:tcPr>
                <w:p w14:paraId="66BDF7CF" w14:textId="77777777" w:rsidR="002D4FD4" w:rsidRPr="00DD1012" w:rsidRDefault="002D4FD4" w:rsidP="002D4FD4">
                  <w:pPr>
                    <w:spacing w:after="0" w:line="240" w:lineRule="auto"/>
                    <w:rPr>
                      <w:rFonts w:ascii="Verdana" w:hAnsi="Verdana" w:cs="Verdana"/>
                      <w:b/>
                      <w:bCs/>
                      <w:sz w:val="18"/>
                      <w:szCs w:val="18"/>
                    </w:rPr>
                  </w:pPr>
                  <w:r w:rsidRPr="00DD1012">
                    <w:rPr>
                      <w:rFonts w:ascii="Verdana" w:hAnsi="Verdana" w:cs="Verdana"/>
                      <w:b/>
                      <w:bCs/>
                      <w:sz w:val="18"/>
                      <w:szCs w:val="18"/>
                    </w:rPr>
                    <w:t xml:space="preserve">Week </w:t>
                  </w:r>
                  <w:r>
                    <w:rPr>
                      <w:rFonts w:ascii="Verdana" w:hAnsi="Verdana" w:cs="Verdana"/>
                      <w:b/>
                      <w:bCs/>
                      <w:sz w:val="18"/>
                      <w:szCs w:val="18"/>
                    </w:rPr>
                    <w:t>5 &amp; 6</w:t>
                  </w:r>
                </w:p>
              </w:tc>
              <w:tc>
                <w:tcPr>
                  <w:tcW w:w="7920" w:type="dxa"/>
                  <w:shd w:val="clear" w:color="auto" w:fill="auto"/>
                  <w:noWrap/>
                  <w:vAlign w:val="bottom"/>
                  <w:hideMark/>
                </w:tcPr>
                <w:p w14:paraId="20D8A907"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4: Long Term Financial Planning and Growth</w:t>
                  </w:r>
                </w:p>
              </w:tc>
            </w:tr>
            <w:tr w:rsidR="002D4FD4" w:rsidRPr="00DD1012" w14:paraId="7B0C58A8" w14:textId="77777777" w:rsidTr="002D4FD4">
              <w:trPr>
                <w:trHeight w:val="300"/>
              </w:trPr>
              <w:tc>
                <w:tcPr>
                  <w:tcW w:w="1705" w:type="dxa"/>
                  <w:vMerge/>
                  <w:vAlign w:val="center"/>
                  <w:hideMark/>
                </w:tcPr>
                <w:p w14:paraId="50179ADB"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349CB65A"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4: Long Term Financial Planning and Growth</w:t>
                  </w:r>
                </w:p>
              </w:tc>
            </w:tr>
            <w:tr w:rsidR="002D4FD4" w:rsidRPr="00DD1012" w14:paraId="2682BE97" w14:textId="77777777" w:rsidTr="002D4FD4">
              <w:trPr>
                <w:trHeight w:val="300"/>
              </w:trPr>
              <w:tc>
                <w:tcPr>
                  <w:tcW w:w="1705" w:type="dxa"/>
                  <w:vMerge w:val="restart"/>
                  <w:shd w:val="clear" w:color="auto" w:fill="auto"/>
                  <w:noWrap/>
                  <w:vAlign w:val="bottom"/>
                  <w:hideMark/>
                </w:tcPr>
                <w:p w14:paraId="23B22D8D" w14:textId="77777777" w:rsidR="002D4FD4" w:rsidRPr="00DD1012" w:rsidRDefault="002D4FD4" w:rsidP="00B32726">
                  <w:pPr>
                    <w:spacing w:after="0" w:line="240" w:lineRule="auto"/>
                    <w:rPr>
                      <w:rFonts w:ascii="Verdana" w:hAnsi="Verdana" w:cs="Verdana"/>
                      <w:b/>
                      <w:bCs/>
                      <w:sz w:val="18"/>
                      <w:szCs w:val="18"/>
                    </w:rPr>
                  </w:pPr>
                  <w:r w:rsidRPr="00DD1012">
                    <w:rPr>
                      <w:rFonts w:ascii="Verdana" w:hAnsi="Verdana" w:cs="Verdana"/>
                      <w:b/>
                      <w:bCs/>
                      <w:sz w:val="18"/>
                      <w:szCs w:val="18"/>
                    </w:rPr>
                    <w:t xml:space="preserve">Week </w:t>
                  </w:r>
                  <w:r>
                    <w:rPr>
                      <w:rFonts w:ascii="Verdana" w:hAnsi="Verdana" w:cs="Verdana"/>
                      <w:b/>
                      <w:bCs/>
                      <w:sz w:val="18"/>
                      <w:szCs w:val="18"/>
                    </w:rPr>
                    <w:t>7 &amp; 8</w:t>
                  </w:r>
                </w:p>
              </w:tc>
              <w:tc>
                <w:tcPr>
                  <w:tcW w:w="7920" w:type="dxa"/>
                  <w:shd w:val="clear" w:color="auto" w:fill="auto"/>
                  <w:noWrap/>
                  <w:vAlign w:val="bottom"/>
                  <w:hideMark/>
                </w:tcPr>
                <w:p w14:paraId="058A5244" w14:textId="77777777" w:rsidR="002D4FD4" w:rsidRPr="00DD1012" w:rsidRDefault="002D4FD4" w:rsidP="00B32726">
                  <w:pPr>
                    <w:spacing w:after="0" w:line="240" w:lineRule="auto"/>
                    <w:rPr>
                      <w:rFonts w:ascii="Verdana" w:hAnsi="Verdana" w:cs="Verdana"/>
                      <w:sz w:val="18"/>
                      <w:szCs w:val="18"/>
                    </w:rPr>
                  </w:pPr>
                  <w:r w:rsidRPr="004A2153">
                    <w:rPr>
                      <w:rFonts w:ascii="Verdana" w:hAnsi="Verdana" w:cs="Verdana"/>
                      <w:sz w:val="18"/>
                      <w:szCs w:val="18"/>
                    </w:rPr>
                    <w:t>Chapter 5</w:t>
                  </w:r>
                  <w:r w:rsidRPr="00DD1012">
                    <w:rPr>
                      <w:rFonts w:ascii="Verdana" w:hAnsi="Verdana" w:cs="Verdana"/>
                      <w:sz w:val="18"/>
                      <w:szCs w:val="18"/>
                    </w:rPr>
                    <w:t xml:space="preserve">: </w:t>
                  </w:r>
                  <w:r>
                    <w:rPr>
                      <w:rFonts w:ascii="Verdana" w:hAnsi="Verdana" w:cs="Verdana"/>
                      <w:sz w:val="18"/>
                      <w:szCs w:val="18"/>
                    </w:rPr>
                    <w:t xml:space="preserve">Introduction to </w:t>
                  </w:r>
                  <w:r w:rsidRPr="00A04460">
                    <w:rPr>
                      <w:rFonts w:ascii="Verdana" w:hAnsi="Verdana" w:cs="Verdana"/>
                      <w:sz w:val="18"/>
                      <w:szCs w:val="18"/>
                    </w:rPr>
                    <w:t>Valuation: The Time Value of Money</w:t>
                  </w:r>
                </w:p>
              </w:tc>
            </w:tr>
            <w:tr w:rsidR="002D4FD4" w:rsidRPr="00DD1012" w14:paraId="39012EE8" w14:textId="77777777" w:rsidTr="002D4FD4">
              <w:trPr>
                <w:trHeight w:val="300"/>
              </w:trPr>
              <w:tc>
                <w:tcPr>
                  <w:tcW w:w="1705" w:type="dxa"/>
                  <w:vMerge/>
                  <w:vAlign w:val="center"/>
                  <w:hideMark/>
                </w:tcPr>
                <w:p w14:paraId="00D67011"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3D95DB0C"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6: Discounted Cash Flow Valuation</w:t>
                  </w:r>
                </w:p>
              </w:tc>
            </w:tr>
            <w:tr w:rsidR="002D4FD4" w:rsidRPr="00DD1012" w14:paraId="74D715FB" w14:textId="77777777" w:rsidTr="002D4FD4">
              <w:trPr>
                <w:trHeight w:val="300"/>
              </w:trPr>
              <w:tc>
                <w:tcPr>
                  <w:tcW w:w="1705" w:type="dxa"/>
                  <w:vMerge w:val="restart"/>
                  <w:shd w:val="clear" w:color="auto" w:fill="auto"/>
                  <w:noWrap/>
                  <w:vAlign w:val="bottom"/>
                  <w:hideMark/>
                </w:tcPr>
                <w:p w14:paraId="7D714D86" w14:textId="77777777" w:rsidR="002D4FD4" w:rsidRPr="00DD1012" w:rsidRDefault="002D4FD4" w:rsidP="002D4FD4">
                  <w:pPr>
                    <w:spacing w:after="0" w:line="240" w:lineRule="auto"/>
                    <w:rPr>
                      <w:rFonts w:ascii="Verdana" w:hAnsi="Verdana" w:cs="Verdana"/>
                      <w:b/>
                      <w:bCs/>
                      <w:sz w:val="18"/>
                      <w:szCs w:val="18"/>
                    </w:rPr>
                  </w:pPr>
                  <w:r w:rsidRPr="00DD1012">
                    <w:rPr>
                      <w:rFonts w:ascii="Verdana" w:hAnsi="Verdana" w:cs="Verdana"/>
                      <w:b/>
                      <w:bCs/>
                      <w:sz w:val="18"/>
                      <w:szCs w:val="18"/>
                    </w:rPr>
                    <w:t xml:space="preserve">Week </w:t>
                  </w:r>
                  <w:r>
                    <w:rPr>
                      <w:rFonts w:ascii="Verdana" w:hAnsi="Verdana" w:cs="Verdana"/>
                      <w:b/>
                      <w:bCs/>
                      <w:sz w:val="18"/>
                      <w:szCs w:val="18"/>
                    </w:rPr>
                    <w:t>9 &amp; 10</w:t>
                  </w:r>
                </w:p>
              </w:tc>
              <w:tc>
                <w:tcPr>
                  <w:tcW w:w="7920" w:type="dxa"/>
                  <w:shd w:val="clear" w:color="auto" w:fill="auto"/>
                  <w:noWrap/>
                  <w:vAlign w:val="bottom"/>
                  <w:hideMark/>
                </w:tcPr>
                <w:p w14:paraId="7EB80650"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9: NPV and other investment Criteria</w:t>
                  </w:r>
                </w:p>
              </w:tc>
            </w:tr>
            <w:tr w:rsidR="002D4FD4" w:rsidRPr="00DD1012" w14:paraId="56DA842E" w14:textId="77777777" w:rsidTr="002D4FD4">
              <w:trPr>
                <w:trHeight w:val="300"/>
              </w:trPr>
              <w:tc>
                <w:tcPr>
                  <w:tcW w:w="1705" w:type="dxa"/>
                  <w:vMerge/>
                  <w:vAlign w:val="center"/>
                  <w:hideMark/>
                </w:tcPr>
                <w:p w14:paraId="7A73462D"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33582043"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 xml:space="preserve">Chapter </w:t>
                  </w:r>
                  <w:r>
                    <w:rPr>
                      <w:rFonts w:ascii="Verdana" w:hAnsi="Verdana" w:cs="Verdana"/>
                      <w:sz w:val="18"/>
                      <w:szCs w:val="18"/>
                    </w:rPr>
                    <w:t>9</w:t>
                  </w:r>
                  <w:r w:rsidRPr="00DD1012">
                    <w:rPr>
                      <w:rFonts w:ascii="Verdana" w:hAnsi="Verdana" w:cs="Verdana"/>
                      <w:sz w:val="18"/>
                      <w:szCs w:val="18"/>
                    </w:rPr>
                    <w:t>: NPV and other investment Criteria</w:t>
                  </w:r>
                </w:p>
              </w:tc>
            </w:tr>
            <w:tr w:rsidR="002D4FD4" w:rsidRPr="00DD1012" w14:paraId="599FC07F" w14:textId="77777777" w:rsidTr="002D4FD4">
              <w:trPr>
                <w:trHeight w:val="300"/>
              </w:trPr>
              <w:tc>
                <w:tcPr>
                  <w:tcW w:w="1705" w:type="dxa"/>
                  <w:vMerge w:val="restart"/>
                  <w:shd w:val="clear" w:color="auto" w:fill="auto"/>
                  <w:noWrap/>
                  <w:vAlign w:val="bottom"/>
                  <w:hideMark/>
                </w:tcPr>
                <w:p w14:paraId="180DAA63" w14:textId="77777777" w:rsidR="002D4FD4" w:rsidRPr="00DD1012" w:rsidRDefault="002D4FD4" w:rsidP="00B32726">
                  <w:pPr>
                    <w:spacing w:after="0" w:line="240" w:lineRule="auto"/>
                    <w:rPr>
                      <w:rFonts w:ascii="Verdana" w:hAnsi="Verdana" w:cs="Verdana"/>
                      <w:b/>
                      <w:bCs/>
                      <w:sz w:val="18"/>
                      <w:szCs w:val="18"/>
                    </w:rPr>
                  </w:pPr>
                  <w:r w:rsidRPr="00DD1012">
                    <w:rPr>
                      <w:rFonts w:ascii="Verdana" w:hAnsi="Verdana" w:cs="Verdana"/>
                      <w:b/>
                      <w:bCs/>
                      <w:sz w:val="18"/>
                      <w:szCs w:val="18"/>
                    </w:rPr>
                    <w:t>Week</w:t>
                  </w:r>
                  <w:r>
                    <w:rPr>
                      <w:rFonts w:ascii="Verdana" w:hAnsi="Verdana" w:cs="Verdana"/>
                      <w:b/>
                      <w:bCs/>
                      <w:sz w:val="18"/>
                      <w:szCs w:val="18"/>
                    </w:rPr>
                    <w:t xml:space="preserve"> 10 &amp; 11</w:t>
                  </w:r>
                  <w:r w:rsidRPr="00DD1012">
                    <w:rPr>
                      <w:rFonts w:ascii="Verdana" w:hAnsi="Verdana" w:cs="Verdana"/>
                      <w:b/>
                      <w:bCs/>
                      <w:sz w:val="18"/>
                      <w:szCs w:val="18"/>
                    </w:rPr>
                    <w:t xml:space="preserve"> </w:t>
                  </w:r>
                </w:p>
              </w:tc>
              <w:tc>
                <w:tcPr>
                  <w:tcW w:w="7920" w:type="dxa"/>
                  <w:shd w:val="clear" w:color="auto" w:fill="auto"/>
                  <w:noWrap/>
                  <w:vAlign w:val="bottom"/>
                  <w:hideMark/>
                </w:tcPr>
                <w:p w14:paraId="5F4E4AFD"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10: Making Capital Investment Decisions</w:t>
                  </w:r>
                </w:p>
              </w:tc>
            </w:tr>
            <w:tr w:rsidR="002D4FD4" w:rsidRPr="00DD1012" w14:paraId="067550BE" w14:textId="77777777" w:rsidTr="002D4FD4">
              <w:trPr>
                <w:trHeight w:val="300"/>
              </w:trPr>
              <w:tc>
                <w:tcPr>
                  <w:tcW w:w="1705" w:type="dxa"/>
                  <w:vMerge/>
                  <w:vAlign w:val="center"/>
                  <w:hideMark/>
                </w:tcPr>
                <w:p w14:paraId="60A8BA40"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43FE1B97"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0</w:t>
                  </w:r>
                  <w:r w:rsidRPr="00DD1012">
                    <w:rPr>
                      <w:rFonts w:ascii="Verdana" w:hAnsi="Verdana" w:cs="Verdana"/>
                      <w:sz w:val="18"/>
                      <w:szCs w:val="18"/>
                    </w:rPr>
                    <w:t>: Making Capital Investment Decisions</w:t>
                  </w:r>
                </w:p>
              </w:tc>
            </w:tr>
            <w:tr w:rsidR="002D4FD4" w:rsidRPr="00DD1012" w14:paraId="63C62F23" w14:textId="77777777" w:rsidTr="002D4FD4">
              <w:trPr>
                <w:trHeight w:val="300"/>
              </w:trPr>
              <w:tc>
                <w:tcPr>
                  <w:tcW w:w="1705" w:type="dxa"/>
                  <w:vMerge w:val="restart"/>
                  <w:shd w:val="clear" w:color="auto" w:fill="auto"/>
                  <w:noWrap/>
                  <w:vAlign w:val="bottom"/>
                  <w:hideMark/>
                </w:tcPr>
                <w:p w14:paraId="5DA7372E" w14:textId="77777777" w:rsidR="002D4FD4" w:rsidRPr="00DD1012" w:rsidRDefault="002D4FD4" w:rsidP="002D4FD4">
                  <w:pPr>
                    <w:spacing w:after="0" w:line="240" w:lineRule="auto"/>
                    <w:rPr>
                      <w:rFonts w:ascii="Verdana" w:hAnsi="Verdana" w:cs="Verdana"/>
                      <w:b/>
                      <w:bCs/>
                      <w:sz w:val="18"/>
                      <w:szCs w:val="18"/>
                    </w:rPr>
                  </w:pPr>
                  <w:r w:rsidRPr="00DD1012">
                    <w:rPr>
                      <w:rFonts w:ascii="Verdana" w:hAnsi="Verdana" w:cs="Verdana"/>
                      <w:b/>
                      <w:bCs/>
                      <w:sz w:val="18"/>
                      <w:szCs w:val="18"/>
                    </w:rPr>
                    <w:t xml:space="preserve">Week </w:t>
                  </w:r>
                  <w:r>
                    <w:rPr>
                      <w:rFonts w:ascii="Verdana" w:hAnsi="Verdana" w:cs="Verdana"/>
                      <w:b/>
                      <w:bCs/>
                      <w:sz w:val="18"/>
                      <w:szCs w:val="18"/>
                    </w:rPr>
                    <w:t>12 &amp; 13</w:t>
                  </w:r>
                  <w:r w:rsidRPr="00DD1012">
                    <w:rPr>
                      <w:rFonts w:ascii="Verdana" w:hAnsi="Verdana" w:cs="Verdana"/>
                      <w:b/>
                      <w:bCs/>
                      <w:sz w:val="18"/>
                      <w:szCs w:val="18"/>
                    </w:rPr>
                    <w:t xml:space="preserve"> </w:t>
                  </w:r>
                </w:p>
              </w:tc>
              <w:tc>
                <w:tcPr>
                  <w:tcW w:w="7920" w:type="dxa"/>
                  <w:shd w:val="clear" w:color="auto" w:fill="auto"/>
                  <w:noWrap/>
                  <w:vAlign w:val="bottom"/>
                  <w:hideMark/>
                </w:tcPr>
                <w:p w14:paraId="72FCB55A"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13: Return, Risk and S</w:t>
                  </w:r>
                  <w:r>
                    <w:rPr>
                      <w:rFonts w:ascii="Verdana" w:hAnsi="Verdana" w:cs="Verdana"/>
                      <w:sz w:val="18"/>
                      <w:szCs w:val="18"/>
                    </w:rPr>
                    <w:t xml:space="preserve">ecurity </w:t>
                  </w:r>
                  <w:r w:rsidRPr="00DD1012">
                    <w:rPr>
                      <w:rFonts w:ascii="Verdana" w:hAnsi="Verdana" w:cs="Verdana"/>
                      <w:sz w:val="18"/>
                      <w:szCs w:val="18"/>
                    </w:rPr>
                    <w:t>M</w:t>
                  </w:r>
                  <w:r>
                    <w:rPr>
                      <w:rFonts w:ascii="Verdana" w:hAnsi="Verdana" w:cs="Verdana"/>
                      <w:sz w:val="18"/>
                      <w:szCs w:val="18"/>
                    </w:rPr>
                    <w:t xml:space="preserve">arket </w:t>
                  </w:r>
                  <w:r w:rsidRPr="00DD1012">
                    <w:rPr>
                      <w:rFonts w:ascii="Verdana" w:hAnsi="Verdana" w:cs="Verdana"/>
                      <w:sz w:val="18"/>
                      <w:szCs w:val="18"/>
                    </w:rPr>
                    <w:t>L</w:t>
                  </w:r>
                  <w:r>
                    <w:rPr>
                      <w:rFonts w:ascii="Verdana" w:hAnsi="Verdana" w:cs="Verdana"/>
                      <w:sz w:val="18"/>
                      <w:szCs w:val="18"/>
                    </w:rPr>
                    <w:t>ine</w:t>
                  </w:r>
                </w:p>
              </w:tc>
            </w:tr>
            <w:tr w:rsidR="002D4FD4" w:rsidRPr="00DD1012" w14:paraId="48CD3CEE" w14:textId="77777777" w:rsidTr="002D4FD4">
              <w:trPr>
                <w:trHeight w:val="300"/>
              </w:trPr>
              <w:tc>
                <w:tcPr>
                  <w:tcW w:w="1705" w:type="dxa"/>
                  <w:vMerge/>
                  <w:vAlign w:val="center"/>
                  <w:hideMark/>
                </w:tcPr>
                <w:p w14:paraId="450B2BDB"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589E37BD"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3</w:t>
                  </w:r>
                  <w:r w:rsidRPr="00DD1012">
                    <w:rPr>
                      <w:rFonts w:ascii="Verdana" w:hAnsi="Verdana" w:cs="Verdana"/>
                      <w:sz w:val="18"/>
                      <w:szCs w:val="18"/>
                    </w:rPr>
                    <w:t>: Return, Risk and S</w:t>
                  </w:r>
                  <w:r>
                    <w:rPr>
                      <w:rFonts w:ascii="Verdana" w:hAnsi="Verdana" w:cs="Verdana"/>
                      <w:sz w:val="18"/>
                      <w:szCs w:val="18"/>
                    </w:rPr>
                    <w:t xml:space="preserve">ecurity </w:t>
                  </w:r>
                  <w:r w:rsidRPr="00DD1012">
                    <w:rPr>
                      <w:rFonts w:ascii="Verdana" w:hAnsi="Verdana" w:cs="Verdana"/>
                      <w:sz w:val="18"/>
                      <w:szCs w:val="18"/>
                    </w:rPr>
                    <w:t>M</w:t>
                  </w:r>
                  <w:r>
                    <w:rPr>
                      <w:rFonts w:ascii="Verdana" w:hAnsi="Verdana" w:cs="Verdana"/>
                      <w:sz w:val="18"/>
                      <w:szCs w:val="18"/>
                    </w:rPr>
                    <w:t xml:space="preserve">arket </w:t>
                  </w:r>
                  <w:r w:rsidRPr="00DD1012">
                    <w:rPr>
                      <w:rFonts w:ascii="Verdana" w:hAnsi="Verdana" w:cs="Verdana"/>
                      <w:sz w:val="18"/>
                      <w:szCs w:val="18"/>
                    </w:rPr>
                    <w:t>L</w:t>
                  </w:r>
                  <w:r>
                    <w:rPr>
                      <w:rFonts w:ascii="Verdana" w:hAnsi="Verdana" w:cs="Verdana"/>
                      <w:sz w:val="18"/>
                      <w:szCs w:val="18"/>
                    </w:rPr>
                    <w:t>ine</w:t>
                  </w:r>
                </w:p>
              </w:tc>
            </w:tr>
            <w:tr w:rsidR="002D4FD4" w:rsidRPr="00DD1012" w14:paraId="46CC9B17" w14:textId="77777777" w:rsidTr="002D4FD4">
              <w:trPr>
                <w:trHeight w:val="300"/>
              </w:trPr>
              <w:tc>
                <w:tcPr>
                  <w:tcW w:w="1705" w:type="dxa"/>
                  <w:vMerge w:val="restart"/>
                  <w:shd w:val="clear" w:color="auto" w:fill="auto"/>
                  <w:noWrap/>
                  <w:vAlign w:val="bottom"/>
                  <w:hideMark/>
                </w:tcPr>
                <w:p w14:paraId="04A74630" w14:textId="77777777" w:rsidR="002D4FD4" w:rsidRPr="00DD1012" w:rsidRDefault="002D4FD4" w:rsidP="002D4FD4">
                  <w:pPr>
                    <w:spacing w:after="0" w:line="240" w:lineRule="auto"/>
                    <w:rPr>
                      <w:rFonts w:ascii="Verdana" w:hAnsi="Verdana" w:cs="Verdana"/>
                      <w:b/>
                      <w:bCs/>
                      <w:sz w:val="18"/>
                      <w:szCs w:val="18"/>
                    </w:rPr>
                  </w:pPr>
                  <w:r w:rsidRPr="00DD1012">
                    <w:rPr>
                      <w:rFonts w:ascii="Verdana" w:hAnsi="Verdana" w:cs="Verdana"/>
                      <w:b/>
                      <w:bCs/>
                      <w:sz w:val="18"/>
                      <w:szCs w:val="18"/>
                    </w:rPr>
                    <w:t xml:space="preserve">Week </w:t>
                  </w:r>
                  <w:r>
                    <w:rPr>
                      <w:rFonts w:ascii="Verdana" w:hAnsi="Verdana" w:cs="Verdana"/>
                      <w:b/>
                      <w:bCs/>
                      <w:sz w:val="18"/>
                      <w:szCs w:val="18"/>
                    </w:rPr>
                    <w:t>14 &amp; 15</w:t>
                  </w:r>
                </w:p>
              </w:tc>
              <w:tc>
                <w:tcPr>
                  <w:tcW w:w="7920" w:type="dxa"/>
                  <w:shd w:val="clear" w:color="auto" w:fill="auto"/>
                  <w:noWrap/>
                  <w:vAlign w:val="bottom"/>
                  <w:hideMark/>
                </w:tcPr>
                <w:p w14:paraId="203C5D1B"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4</w:t>
                  </w:r>
                  <w:r w:rsidRPr="00DD1012">
                    <w:rPr>
                      <w:rFonts w:ascii="Verdana" w:hAnsi="Verdana" w:cs="Verdana"/>
                      <w:sz w:val="18"/>
                      <w:szCs w:val="18"/>
                    </w:rPr>
                    <w:t>: Cost of Capital (Include Bond Fisher Effect)</w:t>
                  </w:r>
                </w:p>
              </w:tc>
            </w:tr>
            <w:tr w:rsidR="002D4FD4" w:rsidRPr="00DD1012" w14:paraId="7EA28FEB" w14:textId="77777777" w:rsidTr="002D4FD4">
              <w:trPr>
                <w:trHeight w:val="300"/>
              </w:trPr>
              <w:tc>
                <w:tcPr>
                  <w:tcW w:w="1705" w:type="dxa"/>
                  <w:vMerge/>
                  <w:vAlign w:val="center"/>
                  <w:hideMark/>
                </w:tcPr>
                <w:p w14:paraId="3266A9BB"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278A45C0" w14:textId="77777777" w:rsidR="002D4FD4" w:rsidRPr="00DD1012" w:rsidRDefault="002D4FD4" w:rsidP="00B32726">
                  <w:pPr>
                    <w:spacing w:after="0" w:line="240" w:lineRule="auto"/>
                    <w:rPr>
                      <w:rFonts w:ascii="Verdana" w:hAnsi="Verdana" w:cs="Verdana"/>
                      <w:sz w:val="18"/>
                      <w:szCs w:val="18"/>
                    </w:rPr>
                  </w:pPr>
                  <w:r w:rsidRPr="004A2153">
                    <w:rPr>
                      <w:rFonts w:ascii="Verdana" w:hAnsi="Verdana" w:cs="Verdana"/>
                      <w:sz w:val="18"/>
                      <w:szCs w:val="18"/>
                    </w:rPr>
                    <w:t>Chapter 14</w:t>
                  </w:r>
                  <w:r w:rsidRPr="00DD1012">
                    <w:rPr>
                      <w:rFonts w:ascii="Verdana" w:hAnsi="Verdana" w:cs="Verdana"/>
                      <w:sz w:val="18"/>
                      <w:szCs w:val="18"/>
                    </w:rPr>
                    <w:t xml:space="preserve">: </w:t>
                  </w:r>
                  <w:r w:rsidRPr="00A04460">
                    <w:rPr>
                      <w:rFonts w:ascii="Verdana" w:hAnsi="Verdana" w:cs="Verdana"/>
                      <w:sz w:val="18"/>
                      <w:szCs w:val="18"/>
                    </w:rPr>
                    <w:t>Cost of Capital (Include Bond Fisher Effect)</w:t>
                  </w:r>
                </w:p>
              </w:tc>
            </w:tr>
            <w:tr w:rsidR="002D4FD4" w:rsidRPr="00DD1012" w14:paraId="6BD2CDE2" w14:textId="77777777" w:rsidTr="002D4FD4">
              <w:trPr>
                <w:trHeight w:val="300"/>
              </w:trPr>
              <w:tc>
                <w:tcPr>
                  <w:tcW w:w="1705" w:type="dxa"/>
                  <w:vMerge w:val="restart"/>
                  <w:shd w:val="clear" w:color="auto" w:fill="auto"/>
                  <w:noWrap/>
                  <w:vAlign w:val="bottom"/>
                  <w:hideMark/>
                </w:tcPr>
                <w:p w14:paraId="3D781AEA" w14:textId="77777777" w:rsidR="002D4FD4" w:rsidRPr="00DD1012" w:rsidRDefault="002D4FD4" w:rsidP="00B32726">
                  <w:pPr>
                    <w:spacing w:after="0" w:line="240" w:lineRule="auto"/>
                    <w:rPr>
                      <w:rFonts w:ascii="Verdana" w:hAnsi="Verdana" w:cs="Verdana"/>
                      <w:b/>
                      <w:bCs/>
                      <w:sz w:val="18"/>
                      <w:szCs w:val="18"/>
                    </w:rPr>
                  </w:pPr>
                  <w:r w:rsidRPr="00DD1012">
                    <w:rPr>
                      <w:rFonts w:ascii="Verdana" w:hAnsi="Verdana" w:cs="Verdana"/>
                      <w:b/>
                      <w:bCs/>
                      <w:sz w:val="18"/>
                      <w:szCs w:val="18"/>
                    </w:rPr>
                    <w:t xml:space="preserve">Week </w:t>
                  </w:r>
                  <w:r>
                    <w:rPr>
                      <w:rFonts w:ascii="Verdana" w:hAnsi="Verdana" w:cs="Verdana"/>
                      <w:b/>
                      <w:bCs/>
                      <w:sz w:val="18"/>
                      <w:szCs w:val="18"/>
                    </w:rPr>
                    <w:t>16 &amp; 17</w:t>
                  </w:r>
                </w:p>
              </w:tc>
              <w:tc>
                <w:tcPr>
                  <w:tcW w:w="7920" w:type="dxa"/>
                  <w:shd w:val="clear" w:color="auto" w:fill="auto"/>
                  <w:noWrap/>
                  <w:vAlign w:val="bottom"/>
                  <w:hideMark/>
                </w:tcPr>
                <w:p w14:paraId="43AD5641"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6</w:t>
                  </w:r>
                  <w:r w:rsidRPr="00DD1012">
                    <w:rPr>
                      <w:rFonts w:ascii="Verdana" w:hAnsi="Verdana" w:cs="Verdana"/>
                      <w:sz w:val="18"/>
                      <w:szCs w:val="18"/>
                    </w:rPr>
                    <w:t>: Financial Leverage and Capital Structure</w:t>
                  </w:r>
                  <w:r>
                    <w:rPr>
                      <w:rFonts w:ascii="Verdana" w:hAnsi="Verdana" w:cs="Verdana"/>
                      <w:sz w:val="18"/>
                      <w:szCs w:val="18"/>
                    </w:rPr>
                    <w:t xml:space="preserve"> Policy</w:t>
                  </w:r>
                </w:p>
              </w:tc>
            </w:tr>
            <w:tr w:rsidR="002D4FD4" w:rsidRPr="00DD1012" w14:paraId="39914242" w14:textId="77777777" w:rsidTr="002D4FD4">
              <w:trPr>
                <w:trHeight w:val="300"/>
              </w:trPr>
              <w:tc>
                <w:tcPr>
                  <w:tcW w:w="1705" w:type="dxa"/>
                  <w:vMerge/>
                  <w:vAlign w:val="center"/>
                  <w:hideMark/>
                </w:tcPr>
                <w:p w14:paraId="113141E1"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29B90212"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6</w:t>
                  </w:r>
                  <w:r w:rsidRPr="00DD1012">
                    <w:rPr>
                      <w:rFonts w:ascii="Verdana" w:hAnsi="Verdana" w:cs="Verdana"/>
                      <w:sz w:val="18"/>
                      <w:szCs w:val="18"/>
                    </w:rPr>
                    <w:t>: Financial Leverage and Capital Structure</w:t>
                  </w:r>
                  <w:r>
                    <w:rPr>
                      <w:rFonts w:ascii="Verdana" w:hAnsi="Verdana" w:cs="Verdana"/>
                      <w:sz w:val="18"/>
                      <w:szCs w:val="18"/>
                    </w:rPr>
                    <w:t xml:space="preserve"> Policy</w:t>
                  </w:r>
                </w:p>
              </w:tc>
            </w:tr>
            <w:tr w:rsidR="002D4FD4" w:rsidRPr="00DD1012" w14:paraId="4D8D2858" w14:textId="77777777" w:rsidTr="002D4FD4">
              <w:trPr>
                <w:trHeight w:val="300"/>
              </w:trPr>
              <w:tc>
                <w:tcPr>
                  <w:tcW w:w="1705" w:type="dxa"/>
                  <w:vMerge w:val="restart"/>
                  <w:shd w:val="clear" w:color="auto" w:fill="auto"/>
                  <w:noWrap/>
                  <w:vAlign w:val="bottom"/>
                  <w:hideMark/>
                </w:tcPr>
                <w:p w14:paraId="14A7B007" w14:textId="77777777" w:rsidR="002D4FD4" w:rsidRPr="00535517" w:rsidRDefault="002D4FD4" w:rsidP="00B32726">
                  <w:pPr>
                    <w:spacing w:after="0" w:line="240" w:lineRule="auto"/>
                    <w:rPr>
                      <w:rFonts w:ascii="Verdana" w:hAnsi="Verdana" w:cs="Verdana"/>
                      <w:b/>
                      <w:bCs/>
                      <w:sz w:val="18"/>
                      <w:szCs w:val="18"/>
                    </w:rPr>
                  </w:pPr>
                  <w:r>
                    <w:rPr>
                      <w:rFonts w:ascii="Verdana" w:hAnsi="Verdana" w:cs="Verdana"/>
                      <w:b/>
                      <w:bCs/>
                      <w:sz w:val="18"/>
                      <w:szCs w:val="18"/>
                    </w:rPr>
                    <w:t>Week 18</w:t>
                  </w:r>
                  <w:r w:rsidRPr="00535517">
                    <w:rPr>
                      <w:rFonts w:ascii="Verdana" w:hAnsi="Verdana" w:cs="Verdana"/>
                      <w:b/>
                      <w:bCs/>
                      <w:sz w:val="18"/>
                      <w:szCs w:val="18"/>
                    </w:rPr>
                    <w:t xml:space="preserve"> </w:t>
                  </w:r>
                </w:p>
              </w:tc>
              <w:tc>
                <w:tcPr>
                  <w:tcW w:w="7920" w:type="dxa"/>
                  <w:shd w:val="clear" w:color="auto" w:fill="auto"/>
                  <w:noWrap/>
                  <w:vAlign w:val="bottom"/>
                  <w:hideMark/>
                </w:tcPr>
                <w:p w14:paraId="0018AC0D"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 xml:space="preserve">Chapter </w:t>
                  </w:r>
                  <w:r>
                    <w:rPr>
                      <w:rFonts w:ascii="Verdana" w:hAnsi="Verdana" w:cs="Verdana"/>
                      <w:sz w:val="18"/>
                      <w:szCs w:val="18"/>
                    </w:rPr>
                    <w:t>17</w:t>
                  </w:r>
                  <w:r w:rsidRPr="00DD1012">
                    <w:rPr>
                      <w:rFonts w:ascii="Verdana" w:hAnsi="Verdana" w:cs="Verdana"/>
                      <w:sz w:val="18"/>
                      <w:szCs w:val="18"/>
                    </w:rPr>
                    <w:t xml:space="preserve">: </w:t>
                  </w:r>
                  <w:r>
                    <w:rPr>
                      <w:rFonts w:ascii="Verdana" w:hAnsi="Verdana" w:cs="Verdana"/>
                      <w:sz w:val="18"/>
                      <w:szCs w:val="18"/>
                    </w:rPr>
                    <w:t>Dividends and Dividends Policy</w:t>
                  </w:r>
                </w:p>
              </w:tc>
            </w:tr>
            <w:tr w:rsidR="002D4FD4" w:rsidRPr="00DD1012" w14:paraId="412C97B0" w14:textId="77777777" w:rsidTr="002D4FD4">
              <w:trPr>
                <w:trHeight w:val="315"/>
              </w:trPr>
              <w:tc>
                <w:tcPr>
                  <w:tcW w:w="1705" w:type="dxa"/>
                  <w:vMerge/>
                  <w:vAlign w:val="center"/>
                  <w:hideMark/>
                </w:tcPr>
                <w:p w14:paraId="3B518599" w14:textId="77777777" w:rsidR="002D4FD4" w:rsidRPr="00DD1012" w:rsidRDefault="002D4FD4" w:rsidP="00B32726">
                  <w:pPr>
                    <w:spacing w:after="0" w:line="240" w:lineRule="auto"/>
                    <w:rPr>
                      <w:rFonts w:ascii="Verdana" w:hAnsi="Verdana" w:cs="Verdana"/>
                      <w:b/>
                      <w:bCs/>
                      <w:sz w:val="18"/>
                      <w:szCs w:val="18"/>
                    </w:rPr>
                  </w:pPr>
                </w:p>
              </w:tc>
              <w:tc>
                <w:tcPr>
                  <w:tcW w:w="7920" w:type="dxa"/>
                  <w:shd w:val="clear" w:color="auto" w:fill="auto"/>
                  <w:noWrap/>
                  <w:vAlign w:val="bottom"/>
                  <w:hideMark/>
                </w:tcPr>
                <w:p w14:paraId="417F0697" w14:textId="77777777" w:rsidR="002D4FD4" w:rsidRPr="00DD1012" w:rsidRDefault="002D4FD4" w:rsidP="00B32726">
                  <w:pPr>
                    <w:spacing w:after="0" w:line="240" w:lineRule="auto"/>
                    <w:rPr>
                      <w:rFonts w:ascii="Verdana" w:hAnsi="Verdana" w:cs="Verdana"/>
                      <w:sz w:val="18"/>
                      <w:szCs w:val="18"/>
                    </w:rPr>
                  </w:pPr>
                  <w:r w:rsidRPr="00DD1012">
                    <w:rPr>
                      <w:rFonts w:ascii="Verdana" w:hAnsi="Verdana" w:cs="Verdana"/>
                      <w:sz w:val="18"/>
                      <w:szCs w:val="18"/>
                    </w:rPr>
                    <w:t xml:space="preserve">Chapter </w:t>
                  </w:r>
                  <w:r>
                    <w:rPr>
                      <w:rFonts w:ascii="Verdana" w:hAnsi="Verdana" w:cs="Verdana"/>
                      <w:sz w:val="18"/>
                      <w:szCs w:val="18"/>
                    </w:rPr>
                    <w:t>17</w:t>
                  </w:r>
                  <w:r w:rsidRPr="00DD1012">
                    <w:rPr>
                      <w:rFonts w:ascii="Verdana" w:hAnsi="Verdana" w:cs="Verdana"/>
                      <w:sz w:val="18"/>
                      <w:szCs w:val="18"/>
                    </w:rPr>
                    <w:t xml:space="preserve">: </w:t>
                  </w:r>
                  <w:r>
                    <w:rPr>
                      <w:rFonts w:ascii="Verdana" w:hAnsi="Verdana" w:cs="Verdana"/>
                      <w:sz w:val="18"/>
                      <w:szCs w:val="18"/>
                    </w:rPr>
                    <w:t>Dividends and Dividends Policy</w:t>
                  </w:r>
                </w:p>
              </w:tc>
            </w:tr>
          </w:tbl>
          <w:p w14:paraId="66C403B1" w14:textId="77777777" w:rsidR="00DD1012" w:rsidRDefault="00DD1012" w:rsidP="00B32726">
            <w:pPr>
              <w:spacing w:after="0" w:line="240" w:lineRule="auto"/>
              <w:jc w:val="both"/>
              <w:rPr>
                <w:rFonts w:ascii="Verdana" w:hAnsi="Verdana" w:cs="Verdana"/>
                <w:sz w:val="16"/>
                <w:szCs w:val="16"/>
              </w:rPr>
            </w:pPr>
          </w:p>
          <w:p w14:paraId="08CE8574" w14:textId="77777777" w:rsidR="00DD1012" w:rsidRPr="00B14574" w:rsidRDefault="00DD1012" w:rsidP="00B32726">
            <w:pPr>
              <w:tabs>
                <w:tab w:val="left" w:pos="4195"/>
              </w:tabs>
              <w:spacing w:after="0" w:line="240" w:lineRule="auto"/>
              <w:jc w:val="both"/>
              <w:rPr>
                <w:rFonts w:ascii="Verdana" w:hAnsi="Verdana" w:cs="Verdana"/>
                <w:sz w:val="16"/>
                <w:szCs w:val="16"/>
              </w:rPr>
            </w:pPr>
          </w:p>
        </w:tc>
      </w:tr>
    </w:tbl>
    <w:p w14:paraId="0C4AAD42" w14:textId="77777777" w:rsidR="0001181D" w:rsidRPr="00197DAF" w:rsidRDefault="0001181D" w:rsidP="00B32726">
      <w:pPr>
        <w:spacing w:after="0" w:line="240" w:lineRule="auto"/>
        <w:rPr>
          <w:rFonts w:ascii="Verdana" w:hAnsi="Verdana"/>
          <w:b/>
          <w:sz w:val="4"/>
          <w:szCs w:val="18"/>
          <w:u w:val="single"/>
        </w:rPr>
      </w:pPr>
    </w:p>
    <w:p w14:paraId="27E58609" w14:textId="77777777" w:rsidR="00BE3F2C" w:rsidRDefault="00BE3F2C" w:rsidP="00B32726">
      <w:pPr>
        <w:spacing w:after="0" w:line="240" w:lineRule="auto"/>
        <w:rPr>
          <w:rFonts w:ascii="Verdana" w:hAnsi="Verdana"/>
          <w:sz w:val="18"/>
          <w:szCs w:val="18"/>
        </w:rPr>
      </w:pPr>
    </w:p>
    <w:p w14:paraId="2B53BE91" w14:textId="77777777" w:rsidR="00BE3F2C" w:rsidRDefault="00BE3F2C" w:rsidP="00B32726">
      <w:pPr>
        <w:spacing w:after="0" w:line="240" w:lineRule="auto"/>
        <w:rPr>
          <w:rFonts w:ascii="Verdana" w:hAnsi="Verdana"/>
          <w:sz w:val="18"/>
          <w:szCs w:val="18"/>
        </w:rPr>
      </w:pPr>
    </w:p>
    <w:p w14:paraId="46C29C76" w14:textId="77777777" w:rsidR="00BE3F2C" w:rsidRDefault="009B6ECF" w:rsidP="00BE3F2C">
      <w:pPr>
        <w:spacing w:after="0" w:line="240" w:lineRule="auto"/>
        <w:jc w:val="center"/>
        <w:rPr>
          <w:rFonts w:ascii="Verdana" w:hAnsi="Verdana"/>
          <w:sz w:val="18"/>
          <w:szCs w:val="18"/>
        </w:rPr>
      </w:pPr>
      <w:r w:rsidRPr="00F4616A">
        <w:rPr>
          <w:rFonts w:ascii="Verdana" w:hAnsi="Verdana"/>
          <w:sz w:val="20"/>
          <w:szCs w:val="20"/>
        </w:rPr>
        <w:t>Note</w:t>
      </w:r>
      <w:r>
        <w:rPr>
          <w:rFonts w:ascii="Verdana" w:hAnsi="Verdana"/>
          <w:sz w:val="20"/>
          <w:szCs w:val="20"/>
        </w:rPr>
        <w:t xml:space="preserve">: </w:t>
      </w:r>
      <w:r w:rsidRPr="007460CE">
        <w:rPr>
          <w:rFonts w:ascii="Verdana" w:hAnsi="Verdana"/>
          <w:sz w:val="18"/>
          <w:szCs w:val="18"/>
        </w:rPr>
        <w:t xml:space="preserve">The instructor reserves the right to make changes to the syllabus </w:t>
      </w:r>
      <w:r>
        <w:rPr>
          <w:rFonts w:ascii="Verdana" w:hAnsi="Verdana"/>
          <w:sz w:val="18"/>
          <w:szCs w:val="18"/>
        </w:rPr>
        <w:t>if</w:t>
      </w:r>
      <w:r w:rsidRPr="007460CE">
        <w:rPr>
          <w:rFonts w:ascii="Verdana" w:hAnsi="Verdana"/>
          <w:sz w:val="18"/>
          <w:szCs w:val="18"/>
        </w:rPr>
        <w:t xml:space="preserve"> necessary.</w:t>
      </w:r>
    </w:p>
    <w:p w14:paraId="32F94843" w14:textId="77777777" w:rsidR="00BE3F2C" w:rsidRDefault="00BE3F2C" w:rsidP="00BE3F2C">
      <w:pPr>
        <w:spacing w:after="0" w:line="240" w:lineRule="auto"/>
        <w:jc w:val="center"/>
        <w:rPr>
          <w:rFonts w:ascii="Verdana" w:hAnsi="Verdana"/>
          <w:sz w:val="18"/>
          <w:szCs w:val="18"/>
        </w:rPr>
      </w:pPr>
    </w:p>
    <w:p w14:paraId="205613AD" w14:textId="77777777" w:rsidR="00BE3F2C" w:rsidRDefault="00BE3F2C" w:rsidP="00BE3F2C">
      <w:pPr>
        <w:spacing w:after="0" w:line="240" w:lineRule="auto"/>
        <w:jc w:val="center"/>
        <w:rPr>
          <w:rFonts w:ascii="Verdana" w:hAnsi="Verdana"/>
          <w:sz w:val="18"/>
          <w:szCs w:val="18"/>
        </w:rPr>
      </w:pPr>
    </w:p>
    <w:p w14:paraId="213D8574" w14:textId="77777777" w:rsidR="00FE6612" w:rsidRDefault="00FE6612" w:rsidP="00BE3F2C">
      <w:pPr>
        <w:spacing w:after="0" w:line="240" w:lineRule="auto"/>
        <w:jc w:val="center"/>
        <w:rPr>
          <w:rFonts w:ascii="Verdana" w:hAnsi="Verdana"/>
          <w:sz w:val="18"/>
          <w:szCs w:val="18"/>
        </w:rPr>
      </w:pPr>
    </w:p>
    <w:p w14:paraId="5035700F" w14:textId="77777777" w:rsidR="00FE6612" w:rsidRDefault="00FE6612" w:rsidP="00BE3F2C">
      <w:pPr>
        <w:spacing w:after="0" w:line="240" w:lineRule="auto"/>
        <w:jc w:val="center"/>
        <w:rPr>
          <w:rFonts w:ascii="Verdana" w:hAnsi="Verdana"/>
          <w:sz w:val="18"/>
          <w:szCs w:val="18"/>
        </w:rPr>
      </w:pPr>
    </w:p>
    <w:p w14:paraId="2D18BCC7" w14:textId="77777777" w:rsidR="00FE6612" w:rsidRDefault="00FE6612" w:rsidP="00BE3F2C">
      <w:pPr>
        <w:spacing w:after="0" w:line="240" w:lineRule="auto"/>
        <w:jc w:val="center"/>
        <w:rPr>
          <w:rFonts w:ascii="Verdana" w:hAnsi="Verdana"/>
          <w:sz w:val="18"/>
          <w:szCs w:val="18"/>
        </w:rPr>
      </w:pPr>
    </w:p>
    <w:p w14:paraId="290EE327" w14:textId="77777777" w:rsidR="00FE6612" w:rsidRDefault="00FE6612" w:rsidP="00BE3F2C">
      <w:pPr>
        <w:spacing w:after="0" w:line="240" w:lineRule="auto"/>
        <w:jc w:val="center"/>
        <w:rPr>
          <w:rFonts w:ascii="Verdana" w:hAnsi="Verdana"/>
          <w:sz w:val="18"/>
          <w:szCs w:val="18"/>
        </w:rPr>
      </w:pPr>
    </w:p>
    <w:p w14:paraId="3B2D263C" w14:textId="77777777" w:rsidR="00FE6612" w:rsidRDefault="00FE6612" w:rsidP="00BE3F2C">
      <w:pPr>
        <w:spacing w:after="0" w:line="240" w:lineRule="auto"/>
        <w:jc w:val="center"/>
        <w:rPr>
          <w:rFonts w:ascii="Verdana" w:hAnsi="Verdana"/>
          <w:sz w:val="18"/>
          <w:szCs w:val="18"/>
        </w:rPr>
      </w:pPr>
    </w:p>
    <w:p w14:paraId="4E20A82F" w14:textId="77777777" w:rsidR="00FE6612" w:rsidRDefault="00FE6612" w:rsidP="00BE3F2C">
      <w:pPr>
        <w:spacing w:after="0" w:line="240" w:lineRule="auto"/>
        <w:jc w:val="center"/>
        <w:rPr>
          <w:rFonts w:ascii="Verdana" w:hAnsi="Verdana"/>
          <w:sz w:val="18"/>
          <w:szCs w:val="18"/>
        </w:rPr>
      </w:pPr>
    </w:p>
    <w:p w14:paraId="55E0EB7D" w14:textId="77777777" w:rsidR="00FE6612" w:rsidRDefault="00FE6612" w:rsidP="00BE3F2C">
      <w:pPr>
        <w:spacing w:after="0" w:line="240" w:lineRule="auto"/>
        <w:jc w:val="center"/>
        <w:rPr>
          <w:rFonts w:ascii="Verdana" w:hAnsi="Verdana"/>
          <w:sz w:val="18"/>
          <w:szCs w:val="18"/>
        </w:rPr>
      </w:pPr>
    </w:p>
    <w:p w14:paraId="30B70123" w14:textId="77777777" w:rsidR="00FE6612" w:rsidRDefault="00FE6612" w:rsidP="00BE3F2C">
      <w:pPr>
        <w:spacing w:after="0" w:line="240" w:lineRule="auto"/>
        <w:jc w:val="center"/>
        <w:rPr>
          <w:rFonts w:ascii="Verdana" w:hAnsi="Verdana"/>
          <w:sz w:val="18"/>
          <w:szCs w:val="18"/>
        </w:rPr>
      </w:pPr>
    </w:p>
    <w:p w14:paraId="77B376AD" w14:textId="77777777" w:rsidR="00FE6612" w:rsidRDefault="00FE6612" w:rsidP="00BE3F2C">
      <w:pPr>
        <w:spacing w:after="0" w:line="240" w:lineRule="auto"/>
        <w:jc w:val="center"/>
        <w:rPr>
          <w:rFonts w:ascii="Verdana" w:hAnsi="Verdana"/>
          <w:sz w:val="18"/>
          <w:szCs w:val="18"/>
        </w:rPr>
      </w:pPr>
    </w:p>
    <w:p w14:paraId="3ADCB852" w14:textId="77777777" w:rsidR="00FE6612" w:rsidRDefault="00FE6612" w:rsidP="00BE3F2C">
      <w:pPr>
        <w:spacing w:after="0" w:line="240" w:lineRule="auto"/>
        <w:jc w:val="center"/>
        <w:rPr>
          <w:rFonts w:ascii="Verdana" w:hAnsi="Verdana"/>
          <w:sz w:val="18"/>
          <w:szCs w:val="18"/>
        </w:rPr>
      </w:pPr>
    </w:p>
    <w:p w14:paraId="4097E3CD" w14:textId="77777777" w:rsidR="00FE6612" w:rsidRDefault="00FE6612" w:rsidP="00BE3F2C">
      <w:pPr>
        <w:spacing w:after="0" w:line="240" w:lineRule="auto"/>
        <w:jc w:val="center"/>
        <w:rPr>
          <w:rFonts w:ascii="Verdana" w:hAnsi="Verdana"/>
          <w:sz w:val="18"/>
          <w:szCs w:val="18"/>
        </w:rPr>
      </w:pPr>
    </w:p>
    <w:p w14:paraId="1E0B0A4A" w14:textId="77777777" w:rsidR="00FE6612" w:rsidRDefault="00FE6612" w:rsidP="00BE3F2C">
      <w:pPr>
        <w:spacing w:after="0" w:line="240" w:lineRule="auto"/>
        <w:jc w:val="center"/>
        <w:rPr>
          <w:rFonts w:ascii="Verdana" w:hAnsi="Verdana"/>
          <w:sz w:val="18"/>
          <w:szCs w:val="18"/>
        </w:rPr>
      </w:pPr>
    </w:p>
    <w:p w14:paraId="2896720E" w14:textId="77777777" w:rsidR="00FE6612" w:rsidRDefault="00FE6612" w:rsidP="00BE3F2C">
      <w:pPr>
        <w:spacing w:after="0" w:line="240" w:lineRule="auto"/>
        <w:jc w:val="center"/>
        <w:rPr>
          <w:rFonts w:ascii="Verdana" w:hAnsi="Verdana"/>
          <w:sz w:val="18"/>
          <w:szCs w:val="18"/>
        </w:rPr>
      </w:pPr>
    </w:p>
    <w:p w14:paraId="2EA24D44" w14:textId="77777777" w:rsidR="00FE6612" w:rsidRDefault="00FE6612" w:rsidP="00BE3F2C">
      <w:pPr>
        <w:spacing w:after="0" w:line="240" w:lineRule="auto"/>
        <w:jc w:val="center"/>
        <w:rPr>
          <w:rFonts w:ascii="Verdana" w:hAnsi="Verdana"/>
          <w:sz w:val="18"/>
          <w:szCs w:val="18"/>
        </w:rPr>
      </w:pPr>
    </w:p>
    <w:p w14:paraId="237AFCCD" w14:textId="77777777" w:rsidR="00FE6612" w:rsidRDefault="00FE6612" w:rsidP="00BE3F2C">
      <w:pPr>
        <w:spacing w:after="0" w:line="240" w:lineRule="auto"/>
        <w:jc w:val="center"/>
        <w:rPr>
          <w:rFonts w:ascii="Verdana" w:hAnsi="Verdana"/>
          <w:sz w:val="18"/>
          <w:szCs w:val="18"/>
        </w:rPr>
      </w:pPr>
    </w:p>
    <w:p w14:paraId="404108CF" w14:textId="77777777" w:rsidR="00FE6612" w:rsidRDefault="00FE6612" w:rsidP="00BE3F2C">
      <w:pPr>
        <w:spacing w:after="0" w:line="240" w:lineRule="auto"/>
        <w:jc w:val="center"/>
        <w:rPr>
          <w:rFonts w:ascii="Verdana" w:hAnsi="Verdana"/>
          <w:sz w:val="18"/>
          <w:szCs w:val="18"/>
        </w:rPr>
      </w:pPr>
    </w:p>
    <w:p w14:paraId="19FBB9DA" w14:textId="77777777" w:rsidR="00FE6612" w:rsidRDefault="00FE6612" w:rsidP="00BE3F2C">
      <w:pPr>
        <w:spacing w:after="0" w:line="240" w:lineRule="auto"/>
        <w:jc w:val="center"/>
        <w:rPr>
          <w:rFonts w:ascii="Verdana" w:hAnsi="Verdana"/>
          <w:sz w:val="18"/>
          <w:szCs w:val="18"/>
        </w:rPr>
      </w:pPr>
    </w:p>
    <w:p w14:paraId="6915B310" w14:textId="77777777" w:rsidR="00FE6612" w:rsidRDefault="00FE6612" w:rsidP="00BE3F2C">
      <w:pPr>
        <w:spacing w:after="0" w:line="240" w:lineRule="auto"/>
        <w:jc w:val="center"/>
        <w:rPr>
          <w:rFonts w:ascii="Verdana" w:hAnsi="Verdana"/>
          <w:sz w:val="18"/>
          <w:szCs w:val="18"/>
        </w:rPr>
      </w:pPr>
    </w:p>
    <w:p w14:paraId="008368F9" w14:textId="77777777" w:rsidR="00FE6612" w:rsidRDefault="00FE6612" w:rsidP="00BE3F2C">
      <w:pPr>
        <w:spacing w:after="0" w:line="240" w:lineRule="auto"/>
        <w:jc w:val="center"/>
        <w:rPr>
          <w:rFonts w:ascii="Verdana" w:hAnsi="Verdana"/>
          <w:sz w:val="18"/>
          <w:szCs w:val="18"/>
        </w:rPr>
      </w:pPr>
    </w:p>
    <w:p w14:paraId="4C5ECB1C" w14:textId="77777777" w:rsidR="00FE6612" w:rsidRDefault="00FE6612" w:rsidP="00BE3F2C">
      <w:pPr>
        <w:spacing w:after="0" w:line="240" w:lineRule="auto"/>
        <w:jc w:val="center"/>
        <w:rPr>
          <w:rFonts w:ascii="Verdana" w:hAnsi="Verdana"/>
          <w:sz w:val="18"/>
          <w:szCs w:val="18"/>
        </w:rPr>
      </w:pPr>
    </w:p>
    <w:p w14:paraId="6BA2C2EB" w14:textId="77777777" w:rsidR="00FE6612" w:rsidRDefault="00FE6612" w:rsidP="00BE3F2C">
      <w:pPr>
        <w:spacing w:after="0" w:line="240" w:lineRule="auto"/>
        <w:jc w:val="center"/>
        <w:rPr>
          <w:rFonts w:ascii="Verdana" w:hAnsi="Verdana"/>
          <w:sz w:val="18"/>
          <w:szCs w:val="18"/>
        </w:rPr>
      </w:pPr>
    </w:p>
    <w:p w14:paraId="5E1C9D31" w14:textId="77777777" w:rsidR="00FE6612" w:rsidRDefault="00FE6612" w:rsidP="00BE3F2C">
      <w:pPr>
        <w:spacing w:after="0" w:line="240" w:lineRule="auto"/>
        <w:jc w:val="center"/>
        <w:rPr>
          <w:rFonts w:ascii="Verdana" w:hAnsi="Verdana"/>
          <w:sz w:val="18"/>
          <w:szCs w:val="18"/>
        </w:rPr>
      </w:pPr>
    </w:p>
    <w:p w14:paraId="0AC74954" w14:textId="77777777" w:rsidR="00FE6612" w:rsidRDefault="00FE6612" w:rsidP="00BE3F2C">
      <w:pPr>
        <w:spacing w:after="0" w:line="240" w:lineRule="auto"/>
        <w:jc w:val="center"/>
        <w:rPr>
          <w:rFonts w:ascii="Verdana" w:hAnsi="Verdana"/>
          <w:sz w:val="18"/>
          <w:szCs w:val="18"/>
        </w:rPr>
      </w:pPr>
    </w:p>
    <w:p w14:paraId="1A54DDE8" w14:textId="77777777" w:rsidR="00FE6612" w:rsidRDefault="00FE6612" w:rsidP="00BE3F2C">
      <w:pPr>
        <w:spacing w:after="0" w:line="240" w:lineRule="auto"/>
        <w:jc w:val="center"/>
        <w:rPr>
          <w:rFonts w:ascii="Verdana" w:hAnsi="Verdana"/>
          <w:sz w:val="18"/>
          <w:szCs w:val="18"/>
        </w:rPr>
      </w:pPr>
    </w:p>
    <w:p w14:paraId="44D1BE36" w14:textId="77777777" w:rsidR="00FE6612" w:rsidRDefault="00FE6612" w:rsidP="00BE3F2C">
      <w:pPr>
        <w:spacing w:after="0" w:line="240" w:lineRule="auto"/>
        <w:jc w:val="center"/>
        <w:rPr>
          <w:rFonts w:ascii="Verdana" w:hAnsi="Verdana"/>
          <w:sz w:val="18"/>
          <w:szCs w:val="18"/>
        </w:rPr>
      </w:pPr>
    </w:p>
    <w:p w14:paraId="3D7AE88C" w14:textId="77777777" w:rsidR="00FE6612" w:rsidRDefault="00FE6612" w:rsidP="00BE3F2C">
      <w:pPr>
        <w:spacing w:after="0" w:line="240" w:lineRule="auto"/>
        <w:jc w:val="center"/>
        <w:rPr>
          <w:rFonts w:ascii="Verdana" w:hAnsi="Verdana"/>
          <w:sz w:val="18"/>
          <w:szCs w:val="18"/>
        </w:rPr>
      </w:pPr>
    </w:p>
    <w:p w14:paraId="2F380EEA" w14:textId="77777777" w:rsidR="00FE6612" w:rsidRDefault="00FE6612" w:rsidP="00BE3F2C">
      <w:pPr>
        <w:spacing w:after="0" w:line="240" w:lineRule="auto"/>
        <w:jc w:val="center"/>
        <w:rPr>
          <w:rFonts w:ascii="Verdana" w:hAnsi="Verdana"/>
          <w:sz w:val="18"/>
          <w:szCs w:val="18"/>
        </w:rPr>
      </w:pPr>
    </w:p>
    <w:p w14:paraId="14A0E880" w14:textId="77777777" w:rsidR="00FE6612" w:rsidRDefault="00FE6612" w:rsidP="00BE3F2C">
      <w:pPr>
        <w:spacing w:after="0" w:line="240" w:lineRule="auto"/>
        <w:jc w:val="center"/>
        <w:rPr>
          <w:rFonts w:ascii="Verdana" w:hAnsi="Verdana"/>
          <w:sz w:val="18"/>
          <w:szCs w:val="18"/>
        </w:rPr>
      </w:pPr>
    </w:p>
    <w:p w14:paraId="7C042088" w14:textId="77777777" w:rsidR="00FE6612" w:rsidRDefault="00FE6612" w:rsidP="00BE3F2C">
      <w:pPr>
        <w:spacing w:after="0" w:line="240" w:lineRule="auto"/>
        <w:jc w:val="center"/>
        <w:rPr>
          <w:rFonts w:ascii="Verdana" w:hAnsi="Verdana"/>
          <w:sz w:val="18"/>
          <w:szCs w:val="18"/>
        </w:rPr>
      </w:pPr>
    </w:p>
    <w:p w14:paraId="4560FDCA" w14:textId="77777777" w:rsidR="00FE6612" w:rsidRDefault="00FE6612" w:rsidP="00BE3F2C">
      <w:pPr>
        <w:spacing w:after="0" w:line="240" w:lineRule="auto"/>
        <w:jc w:val="center"/>
        <w:rPr>
          <w:rFonts w:ascii="Verdana" w:hAnsi="Verdana"/>
          <w:sz w:val="18"/>
          <w:szCs w:val="18"/>
        </w:rPr>
      </w:pPr>
    </w:p>
    <w:p w14:paraId="34F4F5F1" w14:textId="77777777" w:rsidR="00FE6612" w:rsidRDefault="00FE6612" w:rsidP="00BE3F2C">
      <w:pPr>
        <w:spacing w:after="0" w:line="240" w:lineRule="auto"/>
        <w:jc w:val="center"/>
        <w:rPr>
          <w:rFonts w:ascii="Verdana" w:hAnsi="Verdana"/>
          <w:sz w:val="18"/>
          <w:szCs w:val="18"/>
        </w:rPr>
      </w:pPr>
    </w:p>
    <w:p w14:paraId="348BE3EF" w14:textId="77777777" w:rsidR="00FE6612" w:rsidRDefault="00FE6612" w:rsidP="00BE3F2C">
      <w:pPr>
        <w:spacing w:after="0" w:line="240" w:lineRule="auto"/>
        <w:jc w:val="center"/>
        <w:rPr>
          <w:rFonts w:ascii="Verdana" w:hAnsi="Verdana"/>
          <w:sz w:val="18"/>
          <w:szCs w:val="18"/>
        </w:rPr>
      </w:pPr>
    </w:p>
    <w:p w14:paraId="75B4294E" w14:textId="77777777" w:rsidR="00FE6612" w:rsidRDefault="00FE6612" w:rsidP="00BE3F2C">
      <w:pPr>
        <w:spacing w:after="0" w:line="240" w:lineRule="auto"/>
        <w:jc w:val="center"/>
        <w:rPr>
          <w:rFonts w:ascii="Verdana" w:hAnsi="Verdana"/>
          <w:sz w:val="18"/>
          <w:szCs w:val="18"/>
        </w:rPr>
      </w:pPr>
    </w:p>
    <w:p w14:paraId="1BA17B3E" w14:textId="77777777" w:rsidR="00FE6612" w:rsidRDefault="00FE6612" w:rsidP="00BE3F2C">
      <w:pPr>
        <w:spacing w:after="0" w:line="240" w:lineRule="auto"/>
        <w:jc w:val="center"/>
        <w:rPr>
          <w:rFonts w:ascii="Verdana" w:hAnsi="Verdana"/>
          <w:sz w:val="18"/>
          <w:szCs w:val="18"/>
        </w:rPr>
      </w:pPr>
    </w:p>
    <w:p w14:paraId="1D01AE33" w14:textId="77777777" w:rsidR="00FE6612" w:rsidRDefault="00FE6612" w:rsidP="00BE3F2C">
      <w:pPr>
        <w:spacing w:after="0" w:line="240" w:lineRule="auto"/>
        <w:jc w:val="center"/>
        <w:rPr>
          <w:rFonts w:ascii="Verdana" w:hAnsi="Verdana"/>
          <w:sz w:val="18"/>
          <w:szCs w:val="18"/>
        </w:rPr>
      </w:pPr>
    </w:p>
    <w:p w14:paraId="6484A89A" w14:textId="77777777" w:rsidR="00FE6612" w:rsidRDefault="00FE6612" w:rsidP="00BE3F2C">
      <w:pPr>
        <w:spacing w:after="0" w:line="240" w:lineRule="auto"/>
        <w:jc w:val="center"/>
        <w:rPr>
          <w:rFonts w:ascii="Verdana" w:hAnsi="Verdana"/>
          <w:sz w:val="18"/>
          <w:szCs w:val="18"/>
        </w:rPr>
      </w:pPr>
    </w:p>
    <w:p w14:paraId="50450020" w14:textId="77777777" w:rsidR="00FE6612" w:rsidRDefault="00FE6612" w:rsidP="00BE3F2C">
      <w:pPr>
        <w:spacing w:after="0" w:line="240" w:lineRule="auto"/>
        <w:jc w:val="center"/>
        <w:rPr>
          <w:rFonts w:ascii="Verdana" w:hAnsi="Verdana"/>
          <w:sz w:val="18"/>
          <w:szCs w:val="18"/>
        </w:rPr>
      </w:pPr>
    </w:p>
    <w:p w14:paraId="02229FD9" w14:textId="77777777" w:rsidR="00FE6612" w:rsidRDefault="00FE6612" w:rsidP="00BE3F2C">
      <w:pPr>
        <w:spacing w:after="0" w:line="240" w:lineRule="auto"/>
        <w:jc w:val="center"/>
        <w:rPr>
          <w:rFonts w:ascii="Verdana" w:hAnsi="Verdana"/>
          <w:sz w:val="18"/>
          <w:szCs w:val="18"/>
        </w:rPr>
      </w:pPr>
    </w:p>
    <w:p w14:paraId="055B019B" w14:textId="77777777" w:rsidR="00BE3F2C" w:rsidRDefault="00BE3F2C" w:rsidP="00BE3F2C">
      <w:pPr>
        <w:spacing w:after="0" w:line="240" w:lineRule="auto"/>
        <w:jc w:val="center"/>
        <w:rPr>
          <w:rFonts w:ascii="Verdana" w:hAnsi="Verdana"/>
          <w:sz w:val="18"/>
          <w:szCs w:val="18"/>
        </w:rPr>
      </w:pPr>
    </w:p>
    <w:p w14:paraId="0F594C83" w14:textId="77777777" w:rsidR="00E932F7" w:rsidRDefault="00FE6612" w:rsidP="006C0E1C">
      <w:pPr>
        <w:spacing w:after="0" w:line="240" w:lineRule="auto"/>
        <w:ind w:right="-567" w:hanging="567"/>
        <w:jc w:val="center"/>
        <w:rPr>
          <w:rFonts w:ascii="Verdana" w:hAnsi="Verdana"/>
          <w:b/>
          <w:szCs w:val="18"/>
        </w:rPr>
      </w:pPr>
      <w:r>
        <w:rPr>
          <w:rFonts w:ascii="Verdana" w:hAnsi="Verdana"/>
          <w:b/>
          <w:szCs w:val="18"/>
        </w:rPr>
        <w:t>To</w:t>
      </w:r>
      <w:r w:rsidR="00BE3F2C">
        <w:rPr>
          <w:rFonts w:ascii="Verdana" w:hAnsi="Verdana"/>
          <w:b/>
          <w:szCs w:val="18"/>
        </w:rPr>
        <w:t>gether we will make Corporate Finance learning</w:t>
      </w:r>
      <w:r w:rsidR="006C0E1C">
        <w:rPr>
          <w:rFonts w:ascii="Verdana" w:hAnsi="Verdana"/>
          <w:b/>
          <w:szCs w:val="18"/>
        </w:rPr>
        <w:t xml:space="preserve"> experience</w:t>
      </w:r>
      <w:r w:rsidR="00BE3F2C">
        <w:rPr>
          <w:rFonts w:ascii="Verdana" w:hAnsi="Verdana"/>
          <w:b/>
          <w:szCs w:val="18"/>
        </w:rPr>
        <w:t xml:space="preserve"> a </w:t>
      </w:r>
      <w:r w:rsidR="006C0E1C">
        <w:rPr>
          <w:rFonts w:ascii="Verdana" w:hAnsi="Verdana"/>
          <w:b/>
          <w:szCs w:val="18"/>
        </w:rPr>
        <w:t>memorable one!</w:t>
      </w:r>
    </w:p>
    <w:sectPr w:rsidR="00E932F7" w:rsidSect="0001181D">
      <w:headerReference w:type="default" r:id="rId11"/>
      <w:pgSz w:w="11907" w:h="16840" w:code="9"/>
      <w:pgMar w:top="510" w:right="1134" w:bottom="567"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058BD" w14:textId="77777777" w:rsidR="00BE52BE" w:rsidRDefault="00BE52BE" w:rsidP="00906FDA">
      <w:pPr>
        <w:spacing w:after="0" w:line="240" w:lineRule="auto"/>
      </w:pPr>
      <w:r>
        <w:separator/>
      </w:r>
    </w:p>
  </w:endnote>
  <w:endnote w:type="continuationSeparator" w:id="0">
    <w:p w14:paraId="6FB5089E" w14:textId="77777777" w:rsidR="00BE52BE" w:rsidRDefault="00BE52BE"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0DB4" w14:textId="77777777" w:rsidR="00BE52BE" w:rsidRDefault="00BE52BE" w:rsidP="00906FDA">
      <w:pPr>
        <w:spacing w:after="0" w:line="240" w:lineRule="auto"/>
      </w:pPr>
      <w:r>
        <w:separator/>
      </w:r>
    </w:p>
  </w:footnote>
  <w:footnote w:type="continuationSeparator" w:id="0">
    <w:p w14:paraId="0D9BE774" w14:textId="77777777" w:rsidR="00BE52BE" w:rsidRDefault="00BE52BE"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F9E7" w14:textId="77777777" w:rsidR="00C42676" w:rsidRDefault="00C42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50E1"/>
    <w:multiLevelType w:val="hybridMultilevel"/>
    <w:tmpl w:val="2BB2D23E"/>
    <w:lvl w:ilvl="0" w:tplc="3F7CE998">
      <w:start w:val="5"/>
      <w:numFmt w:val="bullet"/>
      <w:lvlText w:val=""/>
      <w:lvlJc w:val="left"/>
      <w:pPr>
        <w:ind w:left="720" w:hanging="360"/>
      </w:pPr>
      <w:rPr>
        <w:rFonts w:ascii="Symbol" w:eastAsia="Calibr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1BF9"/>
    <w:multiLevelType w:val="hybridMultilevel"/>
    <w:tmpl w:val="C0DE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65C3E"/>
    <w:multiLevelType w:val="hybridMultilevel"/>
    <w:tmpl w:val="BEE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8C0306"/>
    <w:multiLevelType w:val="hybridMultilevel"/>
    <w:tmpl w:val="C608D2B2"/>
    <w:lvl w:ilvl="0" w:tplc="827899EE">
      <w:start w:val="3"/>
      <w:numFmt w:val="bullet"/>
      <w:lvlText w:val="-"/>
      <w:lvlJc w:val="left"/>
      <w:pPr>
        <w:ind w:left="720" w:hanging="360"/>
      </w:pPr>
      <w:rPr>
        <w:rFonts w:ascii="Verdana" w:eastAsia="Calibri" w:hAnsi="Verdana"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87C44"/>
    <w:multiLevelType w:val="hybridMultilevel"/>
    <w:tmpl w:val="094C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3423CE"/>
    <w:multiLevelType w:val="hybridMultilevel"/>
    <w:tmpl w:val="9B4C3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FF63CB"/>
    <w:multiLevelType w:val="hybridMultilevel"/>
    <w:tmpl w:val="695ED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9B2937"/>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5"/>
  </w:num>
  <w:num w:numId="4">
    <w:abstractNumId w:val="38"/>
  </w:num>
  <w:num w:numId="5">
    <w:abstractNumId w:val="12"/>
  </w:num>
  <w:num w:numId="6">
    <w:abstractNumId w:val="17"/>
  </w:num>
  <w:num w:numId="7">
    <w:abstractNumId w:val="20"/>
  </w:num>
  <w:num w:numId="8">
    <w:abstractNumId w:val="6"/>
  </w:num>
  <w:num w:numId="9">
    <w:abstractNumId w:val="43"/>
  </w:num>
  <w:num w:numId="10">
    <w:abstractNumId w:val="46"/>
  </w:num>
  <w:num w:numId="11">
    <w:abstractNumId w:val="47"/>
  </w:num>
  <w:num w:numId="12">
    <w:abstractNumId w:val="26"/>
  </w:num>
  <w:num w:numId="13">
    <w:abstractNumId w:val="1"/>
  </w:num>
  <w:num w:numId="14">
    <w:abstractNumId w:val="48"/>
  </w:num>
  <w:num w:numId="15">
    <w:abstractNumId w:val="15"/>
  </w:num>
  <w:num w:numId="16">
    <w:abstractNumId w:val="14"/>
  </w:num>
  <w:num w:numId="17">
    <w:abstractNumId w:val="3"/>
  </w:num>
  <w:num w:numId="18">
    <w:abstractNumId w:val="44"/>
  </w:num>
  <w:num w:numId="19">
    <w:abstractNumId w:val="5"/>
  </w:num>
  <w:num w:numId="20">
    <w:abstractNumId w:val="32"/>
  </w:num>
  <w:num w:numId="21">
    <w:abstractNumId w:val="18"/>
  </w:num>
  <w:num w:numId="22">
    <w:abstractNumId w:val="4"/>
  </w:num>
  <w:num w:numId="23">
    <w:abstractNumId w:val="23"/>
  </w:num>
  <w:num w:numId="24">
    <w:abstractNumId w:val="42"/>
  </w:num>
  <w:num w:numId="25">
    <w:abstractNumId w:val="45"/>
  </w:num>
  <w:num w:numId="26">
    <w:abstractNumId w:val="29"/>
  </w:num>
  <w:num w:numId="27">
    <w:abstractNumId w:val="0"/>
  </w:num>
  <w:num w:numId="28">
    <w:abstractNumId w:val="34"/>
  </w:num>
  <w:num w:numId="29">
    <w:abstractNumId w:val="10"/>
  </w:num>
  <w:num w:numId="30">
    <w:abstractNumId w:val="39"/>
  </w:num>
  <w:num w:numId="31">
    <w:abstractNumId w:val="19"/>
  </w:num>
  <w:num w:numId="32">
    <w:abstractNumId w:val="16"/>
  </w:num>
  <w:num w:numId="33">
    <w:abstractNumId w:val="21"/>
  </w:num>
  <w:num w:numId="34">
    <w:abstractNumId w:val="8"/>
  </w:num>
  <w:num w:numId="35">
    <w:abstractNumId w:val="33"/>
  </w:num>
  <w:num w:numId="36">
    <w:abstractNumId w:val="31"/>
  </w:num>
  <w:num w:numId="37">
    <w:abstractNumId w:val="40"/>
  </w:num>
  <w:num w:numId="38">
    <w:abstractNumId w:val="41"/>
  </w:num>
  <w:num w:numId="39">
    <w:abstractNumId w:val="24"/>
  </w:num>
  <w:num w:numId="40">
    <w:abstractNumId w:val="7"/>
  </w:num>
  <w:num w:numId="41">
    <w:abstractNumId w:val="36"/>
  </w:num>
  <w:num w:numId="42">
    <w:abstractNumId w:val="22"/>
  </w:num>
  <w:num w:numId="43">
    <w:abstractNumId w:val="28"/>
  </w:num>
  <w:num w:numId="44">
    <w:abstractNumId w:val="2"/>
  </w:num>
  <w:num w:numId="45">
    <w:abstractNumId w:val="11"/>
  </w:num>
  <w:num w:numId="46">
    <w:abstractNumId w:val="27"/>
  </w:num>
  <w:num w:numId="47">
    <w:abstractNumId w:val="30"/>
  </w:num>
  <w:num w:numId="48">
    <w:abstractNumId w:val="37"/>
  </w:num>
  <w:num w:numId="49">
    <w:abstractNumId w:val="25"/>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1D"/>
    <w:rsid w:val="000118D8"/>
    <w:rsid w:val="000139E1"/>
    <w:rsid w:val="000227AB"/>
    <w:rsid w:val="00023A02"/>
    <w:rsid w:val="00032009"/>
    <w:rsid w:val="00032C83"/>
    <w:rsid w:val="000351A6"/>
    <w:rsid w:val="000449A0"/>
    <w:rsid w:val="000544F5"/>
    <w:rsid w:val="00055D6E"/>
    <w:rsid w:val="00056853"/>
    <w:rsid w:val="00073490"/>
    <w:rsid w:val="000745AB"/>
    <w:rsid w:val="0007742C"/>
    <w:rsid w:val="00083917"/>
    <w:rsid w:val="00093E28"/>
    <w:rsid w:val="00097039"/>
    <w:rsid w:val="000A1111"/>
    <w:rsid w:val="000A11D9"/>
    <w:rsid w:val="000A3EAE"/>
    <w:rsid w:val="000A585C"/>
    <w:rsid w:val="000B0F7F"/>
    <w:rsid w:val="000B293C"/>
    <w:rsid w:val="000B7F3F"/>
    <w:rsid w:val="000C2452"/>
    <w:rsid w:val="000D023C"/>
    <w:rsid w:val="000D0513"/>
    <w:rsid w:val="000E2302"/>
    <w:rsid w:val="000E389E"/>
    <w:rsid w:val="000E7CAE"/>
    <w:rsid w:val="000F1142"/>
    <w:rsid w:val="000F19CD"/>
    <w:rsid w:val="000F1A9A"/>
    <w:rsid w:val="000F1FDD"/>
    <w:rsid w:val="000F3E38"/>
    <w:rsid w:val="000F3F7B"/>
    <w:rsid w:val="000F5511"/>
    <w:rsid w:val="000F5EA7"/>
    <w:rsid w:val="00103253"/>
    <w:rsid w:val="00103D88"/>
    <w:rsid w:val="001060E5"/>
    <w:rsid w:val="00107E84"/>
    <w:rsid w:val="0011272E"/>
    <w:rsid w:val="00115AEA"/>
    <w:rsid w:val="00117E32"/>
    <w:rsid w:val="00117FDC"/>
    <w:rsid w:val="00123E29"/>
    <w:rsid w:val="00131379"/>
    <w:rsid w:val="001326F4"/>
    <w:rsid w:val="00133AC8"/>
    <w:rsid w:val="00140FDB"/>
    <w:rsid w:val="001429D8"/>
    <w:rsid w:val="001438E7"/>
    <w:rsid w:val="00144756"/>
    <w:rsid w:val="001543D8"/>
    <w:rsid w:val="0015558B"/>
    <w:rsid w:val="00155CA2"/>
    <w:rsid w:val="0016111C"/>
    <w:rsid w:val="00161163"/>
    <w:rsid w:val="0016319E"/>
    <w:rsid w:val="00164A75"/>
    <w:rsid w:val="0017416A"/>
    <w:rsid w:val="00177A39"/>
    <w:rsid w:val="00181A57"/>
    <w:rsid w:val="00183E03"/>
    <w:rsid w:val="00187A71"/>
    <w:rsid w:val="0019291A"/>
    <w:rsid w:val="00192AC8"/>
    <w:rsid w:val="00192D94"/>
    <w:rsid w:val="00197DAF"/>
    <w:rsid w:val="001A080A"/>
    <w:rsid w:val="001A1149"/>
    <w:rsid w:val="001B0258"/>
    <w:rsid w:val="001C41AA"/>
    <w:rsid w:val="001D25B4"/>
    <w:rsid w:val="001D425D"/>
    <w:rsid w:val="001E1DC8"/>
    <w:rsid w:val="001E225B"/>
    <w:rsid w:val="001E5507"/>
    <w:rsid w:val="001F352A"/>
    <w:rsid w:val="001F617D"/>
    <w:rsid w:val="001F6FEB"/>
    <w:rsid w:val="00200195"/>
    <w:rsid w:val="00205FC6"/>
    <w:rsid w:val="002144FC"/>
    <w:rsid w:val="00216A2B"/>
    <w:rsid w:val="00222DEF"/>
    <w:rsid w:val="00223396"/>
    <w:rsid w:val="002245C9"/>
    <w:rsid w:val="00225CDB"/>
    <w:rsid w:val="0022712A"/>
    <w:rsid w:val="0023118B"/>
    <w:rsid w:val="002347D6"/>
    <w:rsid w:val="00236433"/>
    <w:rsid w:val="00236943"/>
    <w:rsid w:val="00237F22"/>
    <w:rsid w:val="002431E9"/>
    <w:rsid w:val="00244491"/>
    <w:rsid w:val="00246945"/>
    <w:rsid w:val="002560D2"/>
    <w:rsid w:val="00260F11"/>
    <w:rsid w:val="0026178C"/>
    <w:rsid w:val="00262674"/>
    <w:rsid w:val="002645BC"/>
    <w:rsid w:val="00276031"/>
    <w:rsid w:val="00285BB0"/>
    <w:rsid w:val="00286CE7"/>
    <w:rsid w:val="00287BE1"/>
    <w:rsid w:val="00292409"/>
    <w:rsid w:val="00293287"/>
    <w:rsid w:val="00297056"/>
    <w:rsid w:val="002A2CEB"/>
    <w:rsid w:val="002A46CC"/>
    <w:rsid w:val="002A584F"/>
    <w:rsid w:val="002B133E"/>
    <w:rsid w:val="002B22D1"/>
    <w:rsid w:val="002B2C46"/>
    <w:rsid w:val="002B33D4"/>
    <w:rsid w:val="002B4E67"/>
    <w:rsid w:val="002C4E32"/>
    <w:rsid w:val="002C564F"/>
    <w:rsid w:val="002C5DCB"/>
    <w:rsid w:val="002C7FFC"/>
    <w:rsid w:val="002D4FD4"/>
    <w:rsid w:val="002D7570"/>
    <w:rsid w:val="002D7D63"/>
    <w:rsid w:val="002E1C35"/>
    <w:rsid w:val="00301C53"/>
    <w:rsid w:val="00301F95"/>
    <w:rsid w:val="00303F6B"/>
    <w:rsid w:val="00310EFB"/>
    <w:rsid w:val="003121C3"/>
    <w:rsid w:val="003142C2"/>
    <w:rsid w:val="00321FC3"/>
    <w:rsid w:val="00326745"/>
    <w:rsid w:val="00334CBC"/>
    <w:rsid w:val="00336E59"/>
    <w:rsid w:val="003378B6"/>
    <w:rsid w:val="00346AD5"/>
    <w:rsid w:val="0035071E"/>
    <w:rsid w:val="00354773"/>
    <w:rsid w:val="00354DBA"/>
    <w:rsid w:val="00356715"/>
    <w:rsid w:val="00356FFA"/>
    <w:rsid w:val="003576EA"/>
    <w:rsid w:val="00370079"/>
    <w:rsid w:val="0037680D"/>
    <w:rsid w:val="00377ABD"/>
    <w:rsid w:val="00383CFA"/>
    <w:rsid w:val="00383E01"/>
    <w:rsid w:val="003902C3"/>
    <w:rsid w:val="0039199D"/>
    <w:rsid w:val="00395AA3"/>
    <w:rsid w:val="00396249"/>
    <w:rsid w:val="00396B11"/>
    <w:rsid w:val="003A626E"/>
    <w:rsid w:val="003A7709"/>
    <w:rsid w:val="003B4235"/>
    <w:rsid w:val="003B4E71"/>
    <w:rsid w:val="003C1E5F"/>
    <w:rsid w:val="003C6C8D"/>
    <w:rsid w:val="003D32B2"/>
    <w:rsid w:val="003D446F"/>
    <w:rsid w:val="003D46E5"/>
    <w:rsid w:val="00403747"/>
    <w:rsid w:val="00405E78"/>
    <w:rsid w:val="004073B7"/>
    <w:rsid w:val="0040743C"/>
    <w:rsid w:val="00431636"/>
    <w:rsid w:val="0043729E"/>
    <w:rsid w:val="0044075F"/>
    <w:rsid w:val="00440A11"/>
    <w:rsid w:val="00446573"/>
    <w:rsid w:val="0045122A"/>
    <w:rsid w:val="00454905"/>
    <w:rsid w:val="00461C0D"/>
    <w:rsid w:val="00467EBE"/>
    <w:rsid w:val="0049010E"/>
    <w:rsid w:val="00492EDD"/>
    <w:rsid w:val="00495402"/>
    <w:rsid w:val="00497916"/>
    <w:rsid w:val="00497F88"/>
    <w:rsid w:val="004A2153"/>
    <w:rsid w:val="004A5103"/>
    <w:rsid w:val="004A60DA"/>
    <w:rsid w:val="004B52DA"/>
    <w:rsid w:val="004C0450"/>
    <w:rsid w:val="004C0963"/>
    <w:rsid w:val="004C2E21"/>
    <w:rsid w:val="004C32E6"/>
    <w:rsid w:val="004D4176"/>
    <w:rsid w:val="004D53A9"/>
    <w:rsid w:val="004D5DF9"/>
    <w:rsid w:val="004E5CB0"/>
    <w:rsid w:val="004E6E5E"/>
    <w:rsid w:val="004F34ED"/>
    <w:rsid w:val="00501E65"/>
    <w:rsid w:val="005027F2"/>
    <w:rsid w:val="005046B4"/>
    <w:rsid w:val="00504FD5"/>
    <w:rsid w:val="00511B18"/>
    <w:rsid w:val="005156E6"/>
    <w:rsid w:val="00516E70"/>
    <w:rsid w:val="00517A29"/>
    <w:rsid w:val="0052028D"/>
    <w:rsid w:val="00521C9C"/>
    <w:rsid w:val="005255CC"/>
    <w:rsid w:val="00530060"/>
    <w:rsid w:val="005306C4"/>
    <w:rsid w:val="00530B76"/>
    <w:rsid w:val="005332E8"/>
    <w:rsid w:val="00535517"/>
    <w:rsid w:val="0054230D"/>
    <w:rsid w:val="00543B01"/>
    <w:rsid w:val="0054437E"/>
    <w:rsid w:val="00547230"/>
    <w:rsid w:val="005479F3"/>
    <w:rsid w:val="00547C67"/>
    <w:rsid w:val="005521FF"/>
    <w:rsid w:val="00552D69"/>
    <w:rsid w:val="005568FD"/>
    <w:rsid w:val="00556AEE"/>
    <w:rsid w:val="00560ED2"/>
    <w:rsid w:val="00561B5C"/>
    <w:rsid w:val="00565537"/>
    <w:rsid w:val="00567DD3"/>
    <w:rsid w:val="005726C6"/>
    <w:rsid w:val="00573530"/>
    <w:rsid w:val="005832CA"/>
    <w:rsid w:val="005874B7"/>
    <w:rsid w:val="005876EF"/>
    <w:rsid w:val="005A12AE"/>
    <w:rsid w:val="005A1C6D"/>
    <w:rsid w:val="005A44C8"/>
    <w:rsid w:val="005A57FD"/>
    <w:rsid w:val="005B6C6D"/>
    <w:rsid w:val="005C0242"/>
    <w:rsid w:val="005C383A"/>
    <w:rsid w:val="005C395C"/>
    <w:rsid w:val="005C5672"/>
    <w:rsid w:val="005C74EB"/>
    <w:rsid w:val="005C7598"/>
    <w:rsid w:val="005C7FC1"/>
    <w:rsid w:val="005D1B22"/>
    <w:rsid w:val="005E3921"/>
    <w:rsid w:val="005E45CD"/>
    <w:rsid w:val="005E4B6A"/>
    <w:rsid w:val="005F3FD0"/>
    <w:rsid w:val="005F447F"/>
    <w:rsid w:val="005F6D05"/>
    <w:rsid w:val="00602E14"/>
    <w:rsid w:val="00613358"/>
    <w:rsid w:val="0062055C"/>
    <w:rsid w:val="006322D9"/>
    <w:rsid w:val="00635FD0"/>
    <w:rsid w:val="006365B9"/>
    <w:rsid w:val="0064041C"/>
    <w:rsid w:val="00641866"/>
    <w:rsid w:val="00642447"/>
    <w:rsid w:val="00642F64"/>
    <w:rsid w:val="00642FB5"/>
    <w:rsid w:val="00647B61"/>
    <w:rsid w:val="006508D8"/>
    <w:rsid w:val="00650914"/>
    <w:rsid w:val="00657390"/>
    <w:rsid w:val="00670F3F"/>
    <w:rsid w:val="00672914"/>
    <w:rsid w:val="00674A35"/>
    <w:rsid w:val="006751DC"/>
    <w:rsid w:val="00684613"/>
    <w:rsid w:val="00685647"/>
    <w:rsid w:val="00685F8E"/>
    <w:rsid w:val="006878E0"/>
    <w:rsid w:val="00687CC6"/>
    <w:rsid w:val="00690C99"/>
    <w:rsid w:val="00694854"/>
    <w:rsid w:val="0069591D"/>
    <w:rsid w:val="006A0F03"/>
    <w:rsid w:val="006A3356"/>
    <w:rsid w:val="006B082B"/>
    <w:rsid w:val="006B446C"/>
    <w:rsid w:val="006B6EC5"/>
    <w:rsid w:val="006C0C4E"/>
    <w:rsid w:val="006C0E1C"/>
    <w:rsid w:val="006D4B53"/>
    <w:rsid w:val="006D6374"/>
    <w:rsid w:val="006F011B"/>
    <w:rsid w:val="006F0679"/>
    <w:rsid w:val="006F4A19"/>
    <w:rsid w:val="0070302B"/>
    <w:rsid w:val="007052DA"/>
    <w:rsid w:val="007137EF"/>
    <w:rsid w:val="00713F42"/>
    <w:rsid w:val="00715659"/>
    <w:rsid w:val="00721E19"/>
    <w:rsid w:val="00736281"/>
    <w:rsid w:val="00737FE0"/>
    <w:rsid w:val="00740BFC"/>
    <w:rsid w:val="00741929"/>
    <w:rsid w:val="00741B65"/>
    <w:rsid w:val="007432DE"/>
    <w:rsid w:val="007457FE"/>
    <w:rsid w:val="007460CE"/>
    <w:rsid w:val="007522AA"/>
    <w:rsid w:val="00755284"/>
    <w:rsid w:val="007562FB"/>
    <w:rsid w:val="0076042D"/>
    <w:rsid w:val="00771789"/>
    <w:rsid w:val="00772E69"/>
    <w:rsid w:val="0077434E"/>
    <w:rsid w:val="00777A28"/>
    <w:rsid w:val="00777C36"/>
    <w:rsid w:val="00782C2E"/>
    <w:rsid w:val="0078587B"/>
    <w:rsid w:val="00790CB1"/>
    <w:rsid w:val="00796F75"/>
    <w:rsid w:val="00797C09"/>
    <w:rsid w:val="00797CAA"/>
    <w:rsid w:val="007A2E43"/>
    <w:rsid w:val="007A79D9"/>
    <w:rsid w:val="007B4B49"/>
    <w:rsid w:val="007C67D7"/>
    <w:rsid w:val="007D0FB1"/>
    <w:rsid w:val="007D13E5"/>
    <w:rsid w:val="007E1093"/>
    <w:rsid w:val="007E3501"/>
    <w:rsid w:val="007E3784"/>
    <w:rsid w:val="007E5C92"/>
    <w:rsid w:val="007E735A"/>
    <w:rsid w:val="008005F2"/>
    <w:rsid w:val="00802FF7"/>
    <w:rsid w:val="00807944"/>
    <w:rsid w:val="00824927"/>
    <w:rsid w:val="008276E3"/>
    <w:rsid w:val="00830C15"/>
    <w:rsid w:val="0083193D"/>
    <w:rsid w:val="00837418"/>
    <w:rsid w:val="00841FA4"/>
    <w:rsid w:val="00844E03"/>
    <w:rsid w:val="0084640F"/>
    <w:rsid w:val="0085034A"/>
    <w:rsid w:val="008555DF"/>
    <w:rsid w:val="00855DCF"/>
    <w:rsid w:val="00856147"/>
    <w:rsid w:val="00857A9D"/>
    <w:rsid w:val="00860507"/>
    <w:rsid w:val="00861526"/>
    <w:rsid w:val="00873A09"/>
    <w:rsid w:val="008748F5"/>
    <w:rsid w:val="00881E46"/>
    <w:rsid w:val="0088226E"/>
    <w:rsid w:val="00883777"/>
    <w:rsid w:val="00884083"/>
    <w:rsid w:val="00886E03"/>
    <w:rsid w:val="0089374A"/>
    <w:rsid w:val="008A2826"/>
    <w:rsid w:val="008A50C1"/>
    <w:rsid w:val="008B4A9A"/>
    <w:rsid w:val="008B5CA2"/>
    <w:rsid w:val="008C022B"/>
    <w:rsid w:val="008D51DC"/>
    <w:rsid w:val="008E009D"/>
    <w:rsid w:val="008E11A7"/>
    <w:rsid w:val="008E2C43"/>
    <w:rsid w:val="008E5976"/>
    <w:rsid w:val="008F57FF"/>
    <w:rsid w:val="00905B22"/>
    <w:rsid w:val="00906FDA"/>
    <w:rsid w:val="00910BAE"/>
    <w:rsid w:val="00912F67"/>
    <w:rsid w:val="00914A45"/>
    <w:rsid w:val="0091519C"/>
    <w:rsid w:val="009159FB"/>
    <w:rsid w:val="00922DE1"/>
    <w:rsid w:val="00925875"/>
    <w:rsid w:val="00927018"/>
    <w:rsid w:val="009311E3"/>
    <w:rsid w:val="00931958"/>
    <w:rsid w:val="00931DF1"/>
    <w:rsid w:val="00932543"/>
    <w:rsid w:val="00933E1C"/>
    <w:rsid w:val="00934C98"/>
    <w:rsid w:val="00937CAF"/>
    <w:rsid w:val="00940A1C"/>
    <w:rsid w:val="009468E8"/>
    <w:rsid w:val="0094709B"/>
    <w:rsid w:val="009628B9"/>
    <w:rsid w:val="00967CA6"/>
    <w:rsid w:val="00970FC2"/>
    <w:rsid w:val="00974B48"/>
    <w:rsid w:val="0098083A"/>
    <w:rsid w:val="00984D4B"/>
    <w:rsid w:val="00986583"/>
    <w:rsid w:val="00994F3E"/>
    <w:rsid w:val="009A1B33"/>
    <w:rsid w:val="009A4342"/>
    <w:rsid w:val="009B0105"/>
    <w:rsid w:val="009B6ECF"/>
    <w:rsid w:val="009C5AC5"/>
    <w:rsid w:val="009D1F69"/>
    <w:rsid w:val="009D252C"/>
    <w:rsid w:val="009D4835"/>
    <w:rsid w:val="009D50E8"/>
    <w:rsid w:val="009E18DF"/>
    <w:rsid w:val="009E4B03"/>
    <w:rsid w:val="009E5F21"/>
    <w:rsid w:val="009F07AA"/>
    <w:rsid w:val="009F7E78"/>
    <w:rsid w:val="00A01401"/>
    <w:rsid w:val="00A01D2B"/>
    <w:rsid w:val="00A04460"/>
    <w:rsid w:val="00A11C6D"/>
    <w:rsid w:val="00A14FD1"/>
    <w:rsid w:val="00A15E15"/>
    <w:rsid w:val="00A16299"/>
    <w:rsid w:val="00A34982"/>
    <w:rsid w:val="00A4704B"/>
    <w:rsid w:val="00A5746B"/>
    <w:rsid w:val="00A61DAA"/>
    <w:rsid w:val="00A64F08"/>
    <w:rsid w:val="00A861EB"/>
    <w:rsid w:val="00A91B2E"/>
    <w:rsid w:val="00A91FA9"/>
    <w:rsid w:val="00AA23DE"/>
    <w:rsid w:val="00AA48A5"/>
    <w:rsid w:val="00AB2212"/>
    <w:rsid w:val="00AB37C6"/>
    <w:rsid w:val="00AB50BD"/>
    <w:rsid w:val="00AD3D57"/>
    <w:rsid w:val="00AF3060"/>
    <w:rsid w:val="00B0504F"/>
    <w:rsid w:val="00B123D6"/>
    <w:rsid w:val="00B12ADE"/>
    <w:rsid w:val="00B15AFE"/>
    <w:rsid w:val="00B15F01"/>
    <w:rsid w:val="00B20D5D"/>
    <w:rsid w:val="00B27E38"/>
    <w:rsid w:val="00B32726"/>
    <w:rsid w:val="00B34954"/>
    <w:rsid w:val="00B40842"/>
    <w:rsid w:val="00B418E9"/>
    <w:rsid w:val="00B45670"/>
    <w:rsid w:val="00B4671D"/>
    <w:rsid w:val="00B5101F"/>
    <w:rsid w:val="00B540C8"/>
    <w:rsid w:val="00B60AF7"/>
    <w:rsid w:val="00B76ACF"/>
    <w:rsid w:val="00B80A70"/>
    <w:rsid w:val="00B82687"/>
    <w:rsid w:val="00B8492E"/>
    <w:rsid w:val="00B91203"/>
    <w:rsid w:val="00B9199C"/>
    <w:rsid w:val="00B93785"/>
    <w:rsid w:val="00B93786"/>
    <w:rsid w:val="00B96920"/>
    <w:rsid w:val="00BA73F7"/>
    <w:rsid w:val="00BB163A"/>
    <w:rsid w:val="00BB371B"/>
    <w:rsid w:val="00BB61C2"/>
    <w:rsid w:val="00BC7149"/>
    <w:rsid w:val="00BD039D"/>
    <w:rsid w:val="00BD28DA"/>
    <w:rsid w:val="00BD2E40"/>
    <w:rsid w:val="00BD4C17"/>
    <w:rsid w:val="00BD7C79"/>
    <w:rsid w:val="00BE1ACF"/>
    <w:rsid w:val="00BE28D0"/>
    <w:rsid w:val="00BE39A7"/>
    <w:rsid w:val="00BE3F2C"/>
    <w:rsid w:val="00BE52BE"/>
    <w:rsid w:val="00BE659E"/>
    <w:rsid w:val="00BF175F"/>
    <w:rsid w:val="00BF69A6"/>
    <w:rsid w:val="00C0117A"/>
    <w:rsid w:val="00C048E9"/>
    <w:rsid w:val="00C06D60"/>
    <w:rsid w:val="00C1231E"/>
    <w:rsid w:val="00C12AA7"/>
    <w:rsid w:val="00C15D98"/>
    <w:rsid w:val="00C23387"/>
    <w:rsid w:val="00C25014"/>
    <w:rsid w:val="00C27234"/>
    <w:rsid w:val="00C31BB4"/>
    <w:rsid w:val="00C35EBD"/>
    <w:rsid w:val="00C36D47"/>
    <w:rsid w:val="00C42344"/>
    <w:rsid w:val="00C42676"/>
    <w:rsid w:val="00C506F9"/>
    <w:rsid w:val="00C50FE4"/>
    <w:rsid w:val="00C53599"/>
    <w:rsid w:val="00C53C98"/>
    <w:rsid w:val="00C5408F"/>
    <w:rsid w:val="00C54F19"/>
    <w:rsid w:val="00C63CD8"/>
    <w:rsid w:val="00C67D8F"/>
    <w:rsid w:val="00C72297"/>
    <w:rsid w:val="00C7253B"/>
    <w:rsid w:val="00C77371"/>
    <w:rsid w:val="00C80166"/>
    <w:rsid w:val="00C81905"/>
    <w:rsid w:val="00C81989"/>
    <w:rsid w:val="00C9398A"/>
    <w:rsid w:val="00CA5E12"/>
    <w:rsid w:val="00CA6352"/>
    <w:rsid w:val="00CB7241"/>
    <w:rsid w:val="00CC738B"/>
    <w:rsid w:val="00CC7664"/>
    <w:rsid w:val="00CD4AFE"/>
    <w:rsid w:val="00CD5130"/>
    <w:rsid w:val="00CD77ED"/>
    <w:rsid w:val="00CD78DA"/>
    <w:rsid w:val="00CE0A54"/>
    <w:rsid w:val="00CE2390"/>
    <w:rsid w:val="00CE5B7D"/>
    <w:rsid w:val="00CE6D5E"/>
    <w:rsid w:val="00D02678"/>
    <w:rsid w:val="00D02691"/>
    <w:rsid w:val="00D1372B"/>
    <w:rsid w:val="00D20AC6"/>
    <w:rsid w:val="00D2221E"/>
    <w:rsid w:val="00D253F8"/>
    <w:rsid w:val="00D322DB"/>
    <w:rsid w:val="00D3283F"/>
    <w:rsid w:val="00D3407D"/>
    <w:rsid w:val="00D34265"/>
    <w:rsid w:val="00D369F8"/>
    <w:rsid w:val="00D406D2"/>
    <w:rsid w:val="00D506A3"/>
    <w:rsid w:val="00D5701E"/>
    <w:rsid w:val="00D606A5"/>
    <w:rsid w:val="00D6359A"/>
    <w:rsid w:val="00D63B22"/>
    <w:rsid w:val="00D64914"/>
    <w:rsid w:val="00D740F2"/>
    <w:rsid w:val="00D74D8D"/>
    <w:rsid w:val="00D8015D"/>
    <w:rsid w:val="00D86CD5"/>
    <w:rsid w:val="00D950D7"/>
    <w:rsid w:val="00D95522"/>
    <w:rsid w:val="00D96D54"/>
    <w:rsid w:val="00DA3474"/>
    <w:rsid w:val="00DA709B"/>
    <w:rsid w:val="00DB09D3"/>
    <w:rsid w:val="00DB49F2"/>
    <w:rsid w:val="00DB58FE"/>
    <w:rsid w:val="00DC2625"/>
    <w:rsid w:val="00DC6554"/>
    <w:rsid w:val="00DD1012"/>
    <w:rsid w:val="00DD3C62"/>
    <w:rsid w:val="00DD51EE"/>
    <w:rsid w:val="00DD79A5"/>
    <w:rsid w:val="00DE3150"/>
    <w:rsid w:val="00DF118C"/>
    <w:rsid w:val="00E029CB"/>
    <w:rsid w:val="00E03979"/>
    <w:rsid w:val="00E060E1"/>
    <w:rsid w:val="00E07993"/>
    <w:rsid w:val="00E14ECC"/>
    <w:rsid w:val="00E16648"/>
    <w:rsid w:val="00E16E11"/>
    <w:rsid w:val="00E220C1"/>
    <w:rsid w:val="00E235A8"/>
    <w:rsid w:val="00E30D11"/>
    <w:rsid w:val="00E310A5"/>
    <w:rsid w:val="00E35609"/>
    <w:rsid w:val="00E35F9A"/>
    <w:rsid w:val="00E42897"/>
    <w:rsid w:val="00E43092"/>
    <w:rsid w:val="00E438CA"/>
    <w:rsid w:val="00E43EA4"/>
    <w:rsid w:val="00E4496A"/>
    <w:rsid w:val="00E474D8"/>
    <w:rsid w:val="00E50567"/>
    <w:rsid w:val="00E53446"/>
    <w:rsid w:val="00E57A9B"/>
    <w:rsid w:val="00E647E1"/>
    <w:rsid w:val="00E67D5F"/>
    <w:rsid w:val="00E72E57"/>
    <w:rsid w:val="00E7445F"/>
    <w:rsid w:val="00E74604"/>
    <w:rsid w:val="00E75109"/>
    <w:rsid w:val="00E800B1"/>
    <w:rsid w:val="00E84AA3"/>
    <w:rsid w:val="00E90DDD"/>
    <w:rsid w:val="00E91B65"/>
    <w:rsid w:val="00E91BFD"/>
    <w:rsid w:val="00E932F7"/>
    <w:rsid w:val="00EA00EE"/>
    <w:rsid w:val="00EA1D60"/>
    <w:rsid w:val="00EA212E"/>
    <w:rsid w:val="00EA5FB8"/>
    <w:rsid w:val="00EA6F89"/>
    <w:rsid w:val="00EB2BBB"/>
    <w:rsid w:val="00EB2F7B"/>
    <w:rsid w:val="00EB456F"/>
    <w:rsid w:val="00EB556D"/>
    <w:rsid w:val="00EC35CD"/>
    <w:rsid w:val="00EC3E56"/>
    <w:rsid w:val="00EC64E3"/>
    <w:rsid w:val="00ED7506"/>
    <w:rsid w:val="00EE5FCE"/>
    <w:rsid w:val="00EE7590"/>
    <w:rsid w:val="00EF24C4"/>
    <w:rsid w:val="00F0167F"/>
    <w:rsid w:val="00F07365"/>
    <w:rsid w:val="00F11297"/>
    <w:rsid w:val="00F150A6"/>
    <w:rsid w:val="00F20BD6"/>
    <w:rsid w:val="00F20D3B"/>
    <w:rsid w:val="00F26A20"/>
    <w:rsid w:val="00F27761"/>
    <w:rsid w:val="00F31243"/>
    <w:rsid w:val="00F32CF3"/>
    <w:rsid w:val="00F333F3"/>
    <w:rsid w:val="00F4616A"/>
    <w:rsid w:val="00F47FEC"/>
    <w:rsid w:val="00F61F03"/>
    <w:rsid w:val="00F659C3"/>
    <w:rsid w:val="00F70121"/>
    <w:rsid w:val="00F712C4"/>
    <w:rsid w:val="00F7551A"/>
    <w:rsid w:val="00F803BB"/>
    <w:rsid w:val="00F8141C"/>
    <w:rsid w:val="00F81784"/>
    <w:rsid w:val="00F82976"/>
    <w:rsid w:val="00F9308F"/>
    <w:rsid w:val="00FA45CD"/>
    <w:rsid w:val="00FA4C19"/>
    <w:rsid w:val="00FA689D"/>
    <w:rsid w:val="00FA71D5"/>
    <w:rsid w:val="00FD0A9C"/>
    <w:rsid w:val="00FD1A13"/>
    <w:rsid w:val="00FD74F3"/>
    <w:rsid w:val="00FE41ED"/>
    <w:rsid w:val="00FE51EB"/>
    <w:rsid w:val="00FE66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4BF98"/>
  <w15:docId w15:val="{DFEC5200-F8A2-4D5F-911B-D0B0A14C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GB" w:eastAsia="en-GB"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uiPriority w:val="99"/>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39"/>
    <w:rsid w:val="0007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s="Times New Roman"/>
      <w:color w:val="000000"/>
      <w:sz w:val="24"/>
      <w:szCs w:val="24"/>
      <w:lang w:val="en-US" w:eastAsia="en-US" w:bidi="ar-SA"/>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uiPriority w:val="99"/>
    <w:rsid w:val="0085034A"/>
    <w:pPr>
      <w:autoSpaceDE w:val="0"/>
      <w:autoSpaceDN w:val="0"/>
      <w:adjustRightInd w:val="0"/>
    </w:pPr>
    <w:rPr>
      <w:rFonts w:ascii="Arial" w:eastAsia="Times New Roman" w:hAnsi="Arial" w:cs="Times New Roman"/>
      <w:szCs w:val="24"/>
      <w:lang w:val="en-US" w:eastAsia="en-US" w:bidi="ar-SA"/>
    </w:rPr>
  </w:style>
  <w:style w:type="character" w:styleId="FollowedHyperlink">
    <w:name w:val="FollowedHyperlink"/>
    <w:basedOn w:val="DefaultParagraphFont"/>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C7229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styleId="NoSpacing">
    <w:name w:val="No Spacing"/>
    <w:uiPriority w:val="1"/>
    <w:qFormat/>
    <w:rsid w:val="00222DEF"/>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596673823">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thsouth.edu/academic/sob/" TargetMode="External"/><Relationship Id="rId4" Type="http://schemas.openxmlformats.org/officeDocument/2006/relationships/settings" Target="settings.xml"/><Relationship Id="rId9"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542F-C3D9-41F6-8FCE-83CD2A2C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Microsoft account</cp:lastModifiedBy>
  <cp:revision>22</cp:revision>
  <cp:lastPrinted>2018-05-26T09:13:00Z</cp:lastPrinted>
  <dcterms:created xsi:type="dcterms:W3CDTF">2019-09-25T03:19:00Z</dcterms:created>
  <dcterms:modified xsi:type="dcterms:W3CDTF">2024-02-05T16:10:00Z</dcterms:modified>
</cp:coreProperties>
</file>